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BEFA9" w14:textId="77777777" w:rsidR="00476715" w:rsidRDefault="00D475A0" w:rsidP="004767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INFORME GLOBAL DE COMENTARIOS</w:t>
      </w:r>
    </w:p>
    <w:p w14:paraId="251632E3" w14:textId="77777777" w:rsidR="00D475A0" w:rsidRPr="00016CBE" w:rsidRDefault="00D475A0" w:rsidP="004767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PROYECTO DE NORMATIVIDAD</w:t>
      </w:r>
    </w:p>
    <w:p w14:paraId="5FAAF81E" w14:textId="77777777" w:rsidR="0055500C" w:rsidRPr="00016CBE" w:rsidRDefault="0055500C" w:rsidP="00D15797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13320" w:type="dxa"/>
        <w:tblLook w:val="04A0" w:firstRow="1" w:lastRow="0" w:firstColumn="1" w:lastColumn="0" w:noHBand="0" w:noVBand="1"/>
      </w:tblPr>
      <w:tblGrid>
        <w:gridCol w:w="1622"/>
        <w:gridCol w:w="1936"/>
        <w:gridCol w:w="967"/>
        <w:gridCol w:w="728"/>
        <w:gridCol w:w="1546"/>
        <w:gridCol w:w="2127"/>
        <w:gridCol w:w="4394"/>
      </w:tblGrid>
      <w:tr w:rsidR="00141E63" w14:paraId="18F17AC4" w14:textId="77777777" w:rsidTr="00A24210">
        <w:tc>
          <w:tcPr>
            <w:tcW w:w="1622" w:type="dxa"/>
            <w:vMerge w:val="restart"/>
          </w:tcPr>
          <w:p w14:paraId="3CFD85F1" w14:textId="77777777" w:rsidR="00141E63" w:rsidRPr="00497BDC" w:rsidRDefault="00141E63" w:rsidP="00D1579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084FBB" w14:textId="77777777" w:rsidR="00141E63" w:rsidRPr="00497BDC" w:rsidRDefault="00141E63" w:rsidP="00141E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7BDC">
              <w:rPr>
                <w:rFonts w:ascii="Arial" w:hAnsi="Arial" w:cs="Arial"/>
                <w:b/>
                <w:sz w:val="18"/>
                <w:szCs w:val="18"/>
              </w:rPr>
              <w:t>Norma</w:t>
            </w:r>
          </w:p>
        </w:tc>
        <w:tc>
          <w:tcPr>
            <w:tcW w:w="1936" w:type="dxa"/>
            <w:vMerge w:val="restart"/>
          </w:tcPr>
          <w:p w14:paraId="0AE7A954" w14:textId="77777777" w:rsidR="00141E63" w:rsidRPr="00497BDC" w:rsidRDefault="00141E63" w:rsidP="00D1579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57C0AC" w14:textId="77777777" w:rsidR="00141E63" w:rsidRPr="00497BDC" w:rsidRDefault="00141E63" w:rsidP="00141E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7BDC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1695" w:type="dxa"/>
            <w:gridSpan w:val="2"/>
          </w:tcPr>
          <w:p w14:paraId="6587796C" w14:textId="77777777" w:rsidR="00141E63" w:rsidRPr="00497BDC" w:rsidRDefault="00141E63" w:rsidP="00600A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7BDC">
              <w:rPr>
                <w:rFonts w:ascii="Arial" w:hAnsi="Arial" w:cs="Arial"/>
                <w:b/>
                <w:sz w:val="18"/>
                <w:szCs w:val="18"/>
              </w:rPr>
              <w:t>Publicación</w:t>
            </w:r>
          </w:p>
        </w:tc>
        <w:tc>
          <w:tcPr>
            <w:tcW w:w="1546" w:type="dxa"/>
            <w:vMerge w:val="restart"/>
          </w:tcPr>
          <w:p w14:paraId="194A16A7" w14:textId="77777777" w:rsidR="00141E63" w:rsidRPr="00497BDC" w:rsidRDefault="00141E63" w:rsidP="00D1579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53C628" w14:textId="77777777" w:rsidR="00141E63" w:rsidRPr="00497BDC" w:rsidRDefault="00141E63" w:rsidP="00141E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7BDC">
              <w:rPr>
                <w:rFonts w:ascii="Arial" w:hAnsi="Arial" w:cs="Arial"/>
                <w:b/>
                <w:sz w:val="18"/>
                <w:szCs w:val="18"/>
              </w:rPr>
              <w:t>Plazo para comentarios</w:t>
            </w:r>
          </w:p>
        </w:tc>
        <w:tc>
          <w:tcPr>
            <w:tcW w:w="2127" w:type="dxa"/>
            <w:vMerge w:val="restart"/>
          </w:tcPr>
          <w:p w14:paraId="0AE5BCEF" w14:textId="77777777" w:rsidR="00141E63" w:rsidRPr="00497BDC" w:rsidRDefault="00141E63" w:rsidP="00141E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8DCC7B" w14:textId="77777777" w:rsidR="00141E63" w:rsidRPr="00497BDC" w:rsidRDefault="00141E63" w:rsidP="00141E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7BDC">
              <w:rPr>
                <w:rFonts w:ascii="Arial" w:hAnsi="Arial" w:cs="Arial"/>
                <w:b/>
                <w:sz w:val="18"/>
                <w:szCs w:val="18"/>
              </w:rPr>
              <w:t>Comentarios recibidos</w:t>
            </w:r>
          </w:p>
        </w:tc>
        <w:tc>
          <w:tcPr>
            <w:tcW w:w="4394" w:type="dxa"/>
            <w:vMerge w:val="restart"/>
          </w:tcPr>
          <w:p w14:paraId="1CEA523E" w14:textId="77777777" w:rsidR="00141E63" w:rsidRPr="00497BDC" w:rsidRDefault="00141E63" w:rsidP="00141E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61D9E8" w14:textId="77777777" w:rsidR="00141E63" w:rsidRPr="00497BDC" w:rsidRDefault="00141E63" w:rsidP="00141E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7BDC">
              <w:rPr>
                <w:rFonts w:ascii="Arial" w:hAnsi="Arial" w:cs="Arial"/>
                <w:b/>
                <w:sz w:val="18"/>
                <w:szCs w:val="18"/>
              </w:rPr>
              <w:t>Análisis de viabilidad</w:t>
            </w:r>
          </w:p>
        </w:tc>
      </w:tr>
      <w:tr w:rsidR="00141E63" w14:paraId="45B32895" w14:textId="77777777" w:rsidTr="00A24210">
        <w:tc>
          <w:tcPr>
            <w:tcW w:w="1622" w:type="dxa"/>
            <w:vMerge/>
          </w:tcPr>
          <w:p w14:paraId="02FF70BF" w14:textId="77777777" w:rsidR="00141E63" w:rsidRPr="00497BDC" w:rsidRDefault="00141E63" w:rsidP="00D157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6" w:type="dxa"/>
            <w:vMerge/>
          </w:tcPr>
          <w:p w14:paraId="1C950410" w14:textId="77777777" w:rsidR="00141E63" w:rsidRPr="00497BDC" w:rsidRDefault="00141E63" w:rsidP="00D157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1BC9A7E5" w14:textId="77777777" w:rsidR="00141E63" w:rsidRPr="00497BDC" w:rsidRDefault="00141E63" w:rsidP="00141E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7BDC">
              <w:rPr>
                <w:rFonts w:ascii="Arial" w:hAnsi="Arial" w:cs="Arial"/>
                <w:b/>
                <w:sz w:val="18"/>
                <w:szCs w:val="18"/>
              </w:rPr>
              <w:t>Página web</w:t>
            </w:r>
          </w:p>
        </w:tc>
        <w:tc>
          <w:tcPr>
            <w:tcW w:w="728" w:type="dxa"/>
          </w:tcPr>
          <w:p w14:paraId="223AAAA6" w14:textId="77777777" w:rsidR="00141E63" w:rsidRPr="00497BDC" w:rsidRDefault="00141E63" w:rsidP="00141E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7BDC">
              <w:rPr>
                <w:rFonts w:ascii="Arial" w:hAnsi="Arial" w:cs="Arial"/>
                <w:b/>
                <w:sz w:val="18"/>
                <w:szCs w:val="18"/>
              </w:rPr>
              <w:t>Sede física</w:t>
            </w:r>
          </w:p>
        </w:tc>
        <w:tc>
          <w:tcPr>
            <w:tcW w:w="1546" w:type="dxa"/>
            <w:vMerge/>
          </w:tcPr>
          <w:p w14:paraId="3FB16D75" w14:textId="77777777" w:rsidR="00141E63" w:rsidRPr="00497BDC" w:rsidRDefault="00141E63" w:rsidP="00D157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14:paraId="14C10277" w14:textId="77777777" w:rsidR="00141E63" w:rsidRPr="00497BDC" w:rsidRDefault="00141E63" w:rsidP="00D157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vMerge/>
          </w:tcPr>
          <w:p w14:paraId="4B88445B" w14:textId="77777777" w:rsidR="00141E63" w:rsidRPr="00497BDC" w:rsidRDefault="00141E63" w:rsidP="00D157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8D" w14:paraId="0BCD9461" w14:textId="77777777" w:rsidTr="00A24210">
        <w:tc>
          <w:tcPr>
            <w:tcW w:w="1622" w:type="dxa"/>
          </w:tcPr>
          <w:p w14:paraId="0528A796" w14:textId="1A6FCB3E" w:rsidR="002D4A8D" w:rsidRPr="00497BDC" w:rsidRDefault="003F10C2" w:rsidP="002D4A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7BDC">
              <w:rPr>
                <w:rFonts w:ascii="Arial" w:hAnsi="Arial" w:cs="Arial"/>
                <w:sz w:val="18"/>
                <w:szCs w:val="18"/>
              </w:rPr>
              <w:t>Circular</w:t>
            </w:r>
            <w:r w:rsidR="00F05CF5" w:rsidRPr="00497B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43FE" w:rsidRPr="00497BDC">
              <w:rPr>
                <w:rFonts w:ascii="Arial" w:hAnsi="Arial" w:cs="Arial"/>
                <w:sz w:val="18"/>
                <w:szCs w:val="18"/>
              </w:rPr>
              <w:t>E</w:t>
            </w:r>
            <w:r w:rsidR="00F05CF5" w:rsidRPr="00497BDC">
              <w:rPr>
                <w:rFonts w:ascii="Arial" w:hAnsi="Arial" w:cs="Arial"/>
                <w:sz w:val="18"/>
                <w:szCs w:val="18"/>
              </w:rPr>
              <w:t>xterna</w:t>
            </w:r>
            <w:r w:rsidRPr="00497B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43FE" w:rsidRPr="00497BDC">
              <w:rPr>
                <w:rFonts w:ascii="Arial" w:hAnsi="Arial" w:cs="Arial"/>
                <w:sz w:val="18"/>
                <w:szCs w:val="18"/>
              </w:rPr>
              <w:t>(</w:t>
            </w:r>
            <w:r w:rsidR="002A7E33">
              <w:rPr>
                <w:rFonts w:ascii="Arial" w:hAnsi="Arial" w:cs="Arial"/>
                <w:sz w:val="18"/>
                <w:szCs w:val="18"/>
              </w:rPr>
              <w:t>p</w:t>
            </w:r>
            <w:r w:rsidR="004843FE" w:rsidRPr="00497BDC">
              <w:rPr>
                <w:rFonts w:ascii="Arial" w:hAnsi="Arial" w:cs="Arial"/>
                <w:sz w:val="18"/>
                <w:szCs w:val="18"/>
              </w:rPr>
              <w:t>or medio de la cual se modifica la fecha de pago de la prima del Seguro de Depósitos correspondiente al cuarto trimestre de 2023)</w:t>
            </w:r>
          </w:p>
        </w:tc>
        <w:tc>
          <w:tcPr>
            <w:tcW w:w="1936" w:type="dxa"/>
          </w:tcPr>
          <w:p w14:paraId="03B1D59A" w14:textId="590566B4" w:rsidR="002D4A8D" w:rsidRPr="00497BDC" w:rsidRDefault="004843FE" w:rsidP="002D4A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7BDC">
              <w:rPr>
                <w:rFonts w:ascii="Arial" w:hAnsi="Arial" w:cs="Arial"/>
                <w:sz w:val="18"/>
                <w:szCs w:val="18"/>
              </w:rPr>
              <w:t>M</w:t>
            </w:r>
            <w:r w:rsidR="003F6B36" w:rsidRPr="00497BDC">
              <w:rPr>
                <w:rFonts w:ascii="Arial" w:hAnsi="Arial" w:cs="Arial"/>
                <w:sz w:val="18"/>
                <w:szCs w:val="18"/>
              </w:rPr>
              <w:t>odifica</w:t>
            </w:r>
            <w:r w:rsidR="00497BDC">
              <w:rPr>
                <w:rFonts w:ascii="Arial" w:hAnsi="Arial" w:cs="Arial"/>
                <w:sz w:val="18"/>
                <w:szCs w:val="18"/>
              </w:rPr>
              <w:t>r</w:t>
            </w:r>
            <w:r w:rsidR="003F6B36" w:rsidRPr="00497BDC">
              <w:rPr>
                <w:rFonts w:ascii="Arial" w:hAnsi="Arial" w:cs="Arial"/>
                <w:sz w:val="18"/>
                <w:szCs w:val="18"/>
              </w:rPr>
              <w:t xml:space="preserve"> la fecha de pago de la prima del Seguro de Depósitos correspondiente al </w:t>
            </w:r>
            <w:r w:rsidR="00DD5040" w:rsidRPr="00497BDC">
              <w:rPr>
                <w:rFonts w:ascii="Arial" w:hAnsi="Arial" w:cs="Arial"/>
                <w:sz w:val="18"/>
                <w:szCs w:val="18"/>
              </w:rPr>
              <w:t>cuarto</w:t>
            </w:r>
            <w:r w:rsidR="003F6B36" w:rsidRPr="00497BDC">
              <w:rPr>
                <w:rFonts w:ascii="Arial" w:hAnsi="Arial" w:cs="Arial"/>
                <w:sz w:val="18"/>
                <w:szCs w:val="18"/>
              </w:rPr>
              <w:t xml:space="preserve"> trimestre de 20</w:t>
            </w:r>
            <w:r w:rsidR="00CC1411" w:rsidRPr="00497BDC">
              <w:rPr>
                <w:rFonts w:ascii="Arial" w:hAnsi="Arial" w:cs="Arial"/>
                <w:sz w:val="18"/>
                <w:szCs w:val="18"/>
              </w:rPr>
              <w:t>2</w:t>
            </w:r>
            <w:r w:rsidRPr="00497BD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67" w:type="dxa"/>
          </w:tcPr>
          <w:p w14:paraId="585C1996" w14:textId="77777777" w:rsidR="002D4A8D" w:rsidRPr="00497BDC" w:rsidRDefault="002D4A8D" w:rsidP="002D4A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7BDC">
              <w:rPr>
                <w:rFonts w:ascii="Arial" w:hAnsi="Arial" w:cs="Arial"/>
                <w:sz w:val="18"/>
                <w:szCs w:val="18"/>
              </w:rPr>
              <w:t>Sí</w:t>
            </w:r>
          </w:p>
        </w:tc>
        <w:tc>
          <w:tcPr>
            <w:tcW w:w="728" w:type="dxa"/>
          </w:tcPr>
          <w:p w14:paraId="604E6283" w14:textId="77777777" w:rsidR="002D4A8D" w:rsidRPr="00497BDC" w:rsidRDefault="004A5C9C" w:rsidP="002D4A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7BDC">
              <w:rPr>
                <w:rFonts w:ascii="Arial" w:hAnsi="Arial" w:cs="Arial"/>
                <w:sz w:val="18"/>
                <w:szCs w:val="18"/>
              </w:rPr>
              <w:t>Sí</w:t>
            </w:r>
          </w:p>
        </w:tc>
        <w:tc>
          <w:tcPr>
            <w:tcW w:w="1546" w:type="dxa"/>
          </w:tcPr>
          <w:p w14:paraId="3A261F52" w14:textId="349F12AF" w:rsidR="002D4A8D" w:rsidRPr="00497BDC" w:rsidRDefault="00E5298B" w:rsidP="002D4A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7BDC">
              <w:rPr>
                <w:rFonts w:ascii="Arial" w:hAnsi="Arial" w:cs="Arial"/>
                <w:sz w:val="18"/>
                <w:szCs w:val="18"/>
              </w:rPr>
              <w:t xml:space="preserve">Del </w:t>
            </w:r>
            <w:r w:rsidR="009C2160" w:rsidRPr="00497BDC">
              <w:rPr>
                <w:rFonts w:ascii="Arial" w:hAnsi="Arial" w:cs="Arial"/>
                <w:sz w:val="18"/>
                <w:szCs w:val="18"/>
              </w:rPr>
              <w:t>15</w:t>
            </w:r>
            <w:r w:rsidR="00EE6098" w:rsidRPr="00497B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4A8D" w:rsidRPr="00497BDC">
              <w:rPr>
                <w:rFonts w:ascii="Arial" w:hAnsi="Arial" w:cs="Arial"/>
                <w:sz w:val="18"/>
                <w:szCs w:val="18"/>
              </w:rPr>
              <w:t xml:space="preserve">al </w:t>
            </w:r>
            <w:r w:rsidR="009C2160" w:rsidRPr="00497BDC">
              <w:rPr>
                <w:rFonts w:ascii="Arial" w:hAnsi="Arial" w:cs="Arial"/>
                <w:sz w:val="18"/>
                <w:szCs w:val="18"/>
              </w:rPr>
              <w:t>21</w:t>
            </w:r>
            <w:r w:rsidR="003F10C2" w:rsidRPr="00497BDC">
              <w:rPr>
                <w:rFonts w:ascii="Arial" w:hAnsi="Arial" w:cs="Arial"/>
                <w:sz w:val="18"/>
                <w:szCs w:val="18"/>
              </w:rPr>
              <w:t xml:space="preserve"> de marzo de 20</w:t>
            </w:r>
            <w:r w:rsidRPr="00497BDC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127" w:type="dxa"/>
          </w:tcPr>
          <w:p w14:paraId="638C5D8F" w14:textId="53D74442" w:rsidR="002D4A8D" w:rsidRPr="00497BDC" w:rsidRDefault="005058D8" w:rsidP="00580A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7BDC">
              <w:rPr>
                <w:rFonts w:ascii="Arial" w:hAnsi="Arial" w:cs="Arial"/>
                <w:sz w:val="18"/>
                <w:szCs w:val="18"/>
              </w:rPr>
              <w:t>Se</w:t>
            </w:r>
            <w:r w:rsidR="00854F4C" w:rsidRPr="00497BDC">
              <w:rPr>
                <w:rFonts w:ascii="Arial" w:hAnsi="Arial" w:cs="Arial"/>
                <w:sz w:val="18"/>
                <w:szCs w:val="18"/>
              </w:rPr>
              <w:t xml:space="preserve"> recibi</w:t>
            </w:r>
            <w:r w:rsidRPr="00497BDC">
              <w:rPr>
                <w:rFonts w:ascii="Arial" w:hAnsi="Arial" w:cs="Arial"/>
                <w:sz w:val="18"/>
                <w:szCs w:val="18"/>
              </w:rPr>
              <w:t>ó un</w:t>
            </w:r>
            <w:r w:rsidR="00854F4C" w:rsidRPr="00497B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51BD" w:rsidRPr="00497BDC">
              <w:rPr>
                <w:rFonts w:ascii="Arial" w:hAnsi="Arial" w:cs="Arial"/>
                <w:sz w:val="18"/>
                <w:szCs w:val="18"/>
              </w:rPr>
              <w:t>comentario</w:t>
            </w:r>
            <w:r w:rsidRPr="00497BDC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4843FE" w:rsidRPr="00497BDC">
              <w:rPr>
                <w:rFonts w:ascii="Arial" w:hAnsi="Arial" w:cs="Arial"/>
                <w:sz w:val="18"/>
                <w:szCs w:val="18"/>
              </w:rPr>
              <w:t>Bancamía</w:t>
            </w:r>
          </w:p>
        </w:tc>
        <w:tc>
          <w:tcPr>
            <w:tcW w:w="4394" w:type="dxa"/>
          </w:tcPr>
          <w:p w14:paraId="51756B6D" w14:textId="4A0F66A9" w:rsidR="00497BDC" w:rsidRPr="00497BDC" w:rsidRDefault="002D4A8D" w:rsidP="00B2057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7BDC">
              <w:rPr>
                <w:rFonts w:ascii="Arial" w:hAnsi="Arial" w:cs="Arial"/>
                <w:b/>
                <w:sz w:val="18"/>
                <w:szCs w:val="18"/>
              </w:rPr>
              <w:t>Análisis de los comentarios recibidos:</w:t>
            </w:r>
            <w:r w:rsidRPr="00497B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7BDC" w:rsidRPr="00497BDC">
              <w:rPr>
                <w:rFonts w:ascii="Arial" w:hAnsi="Arial" w:cs="Arial"/>
                <w:sz w:val="18"/>
                <w:szCs w:val="18"/>
              </w:rPr>
              <w:t>P</w:t>
            </w:r>
            <w:r w:rsidR="00365F71" w:rsidRPr="00497BDC">
              <w:rPr>
                <w:rFonts w:ascii="Arial" w:hAnsi="Arial" w:cs="Arial"/>
                <w:sz w:val="18"/>
                <w:szCs w:val="18"/>
              </w:rPr>
              <w:t xml:space="preserve">reguntó </w:t>
            </w:r>
            <w:r w:rsidR="00497BDC" w:rsidRPr="00497BDC">
              <w:rPr>
                <w:rFonts w:ascii="Arial" w:hAnsi="Arial" w:cs="Arial"/>
                <w:sz w:val="18"/>
                <w:szCs w:val="18"/>
              </w:rPr>
              <w:t>por la modificación en la fecha de pago de la prima de</w:t>
            </w:r>
            <w:r w:rsidR="00365F71" w:rsidRPr="00497BDC">
              <w:rPr>
                <w:rFonts w:ascii="Arial" w:hAnsi="Arial" w:cs="Arial"/>
                <w:sz w:val="18"/>
                <w:szCs w:val="18"/>
              </w:rPr>
              <w:t>l per</w:t>
            </w:r>
            <w:r w:rsidR="00497BDC" w:rsidRPr="00497BDC">
              <w:rPr>
                <w:rFonts w:ascii="Arial" w:hAnsi="Arial" w:cs="Arial"/>
                <w:sz w:val="18"/>
                <w:szCs w:val="18"/>
              </w:rPr>
              <w:t>í</w:t>
            </w:r>
            <w:r w:rsidR="00365F71" w:rsidRPr="00497BDC">
              <w:rPr>
                <w:rFonts w:ascii="Arial" w:hAnsi="Arial" w:cs="Arial"/>
                <w:sz w:val="18"/>
                <w:szCs w:val="18"/>
              </w:rPr>
              <w:t>odo octubre - noviembre y diciembre de 2023</w:t>
            </w:r>
            <w:r w:rsidRPr="00497BDC">
              <w:rPr>
                <w:rFonts w:ascii="Arial" w:hAnsi="Arial" w:cs="Arial"/>
                <w:sz w:val="18"/>
                <w:szCs w:val="18"/>
              </w:rPr>
              <w:t>.</w:t>
            </w:r>
            <w:r w:rsidR="00786BD0" w:rsidRPr="00497BDC">
              <w:rPr>
                <w:rFonts w:ascii="Arial" w:hAnsi="Arial" w:cs="Arial"/>
                <w:sz w:val="18"/>
                <w:szCs w:val="18"/>
              </w:rPr>
              <w:t xml:space="preserve"> Se respondió que </w:t>
            </w:r>
            <w:r w:rsidR="00497BDC" w:rsidRPr="00497BDC">
              <w:rPr>
                <w:rFonts w:ascii="Arial" w:hAnsi="Arial" w:cs="Arial"/>
                <w:sz w:val="18"/>
                <w:szCs w:val="18"/>
              </w:rPr>
              <w:t xml:space="preserve">se </w:t>
            </w:r>
            <w:r w:rsidR="00786BD0" w:rsidRPr="00497BDC">
              <w:rPr>
                <w:rFonts w:ascii="Arial" w:hAnsi="Arial" w:cs="Arial"/>
                <w:sz w:val="18"/>
                <w:szCs w:val="18"/>
              </w:rPr>
              <w:t>amplía concretamente el plazo de pago de la prima correspondiente al último trimestre del año 2023</w:t>
            </w:r>
            <w:r w:rsidR="00497BDC" w:rsidRPr="00497BD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97BDC">
              <w:rPr>
                <w:rFonts w:ascii="Arial" w:hAnsi="Arial" w:cs="Arial"/>
                <w:sz w:val="18"/>
                <w:szCs w:val="18"/>
              </w:rPr>
              <w:t>e</w:t>
            </w:r>
            <w:r w:rsidR="00497BDC" w:rsidRPr="00497BDC">
              <w:rPr>
                <w:rFonts w:ascii="Arial" w:hAnsi="Arial" w:cs="Arial"/>
                <w:sz w:val="18"/>
                <w:szCs w:val="18"/>
              </w:rPr>
              <w:t xml:space="preserve">s un ajuste </w:t>
            </w:r>
            <w:r w:rsidR="00497BDC">
              <w:rPr>
                <w:rFonts w:ascii="Arial" w:hAnsi="Arial" w:cs="Arial"/>
                <w:sz w:val="18"/>
                <w:szCs w:val="18"/>
              </w:rPr>
              <w:t xml:space="preserve">excepcional </w:t>
            </w:r>
            <w:r w:rsidR="00497BDC" w:rsidRPr="00497BDC">
              <w:rPr>
                <w:rFonts w:ascii="Arial" w:hAnsi="Arial" w:cs="Arial"/>
                <w:sz w:val="18"/>
                <w:szCs w:val="18"/>
              </w:rPr>
              <w:t>del plazo aplicado solo a</w:t>
            </w:r>
            <w:r w:rsidR="00497BDC">
              <w:rPr>
                <w:rFonts w:ascii="Arial" w:hAnsi="Arial" w:cs="Arial"/>
                <w:sz w:val="18"/>
                <w:szCs w:val="18"/>
              </w:rPr>
              <w:t xml:space="preserve">l mencionado </w:t>
            </w:r>
            <w:r w:rsidR="00497BDC" w:rsidRPr="00497BDC">
              <w:rPr>
                <w:rFonts w:ascii="Arial" w:hAnsi="Arial" w:cs="Arial"/>
                <w:sz w:val="18"/>
                <w:szCs w:val="18"/>
              </w:rPr>
              <w:t>per</w:t>
            </w:r>
            <w:r w:rsidR="00497BDC">
              <w:rPr>
                <w:rFonts w:ascii="Arial" w:hAnsi="Arial" w:cs="Arial"/>
                <w:sz w:val="18"/>
                <w:szCs w:val="18"/>
              </w:rPr>
              <w:t>í</w:t>
            </w:r>
            <w:r w:rsidR="00497BDC" w:rsidRPr="00497BDC">
              <w:rPr>
                <w:rFonts w:ascii="Arial" w:hAnsi="Arial" w:cs="Arial"/>
                <w:sz w:val="18"/>
                <w:szCs w:val="18"/>
              </w:rPr>
              <w:t xml:space="preserve">odo. </w:t>
            </w:r>
          </w:p>
          <w:p w14:paraId="3EACF184" w14:textId="06E8E229" w:rsidR="002D4A8D" w:rsidRPr="00497BDC" w:rsidRDefault="002D4A8D" w:rsidP="00670B9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7BDC">
              <w:rPr>
                <w:rFonts w:ascii="Arial" w:hAnsi="Arial" w:cs="Arial"/>
                <w:b/>
                <w:sz w:val="18"/>
                <w:szCs w:val="18"/>
              </w:rPr>
              <w:t>Antecedentes y razones de oportunidad de proyecto normativo:</w:t>
            </w:r>
            <w:r w:rsidR="00670B9F" w:rsidRPr="00497BD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70B9F" w:rsidRPr="00497BDC">
              <w:rPr>
                <w:rFonts w:ascii="Arial" w:hAnsi="Arial" w:cs="Arial"/>
                <w:sz w:val="18"/>
                <w:szCs w:val="18"/>
              </w:rPr>
              <w:t>Se identificó la necesidad de facilitar a los establecimientos de crédito</w:t>
            </w:r>
            <w:r w:rsidR="0078432C" w:rsidRPr="00497BDC">
              <w:rPr>
                <w:rFonts w:ascii="Arial" w:hAnsi="Arial" w:cs="Arial"/>
                <w:sz w:val="18"/>
                <w:szCs w:val="18"/>
              </w:rPr>
              <w:t>, incluidas las SEDPES,</w:t>
            </w:r>
            <w:r w:rsidR="00670B9F" w:rsidRPr="00497BDC">
              <w:rPr>
                <w:rFonts w:ascii="Arial" w:hAnsi="Arial" w:cs="Arial"/>
                <w:sz w:val="18"/>
                <w:szCs w:val="18"/>
              </w:rPr>
              <w:t xml:space="preserve"> el pago de la prima del Seguro de Depósitos, </w:t>
            </w:r>
            <w:r w:rsidR="0078432C" w:rsidRPr="00497BDC">
              <w:rPr>
                <w:rFonts w:ascii="Arial" w:hAnsi="Arial" w:cs="Arial"/>
                <w:sz w:val="18"/>
                <w:szCs w:val="18"/>
              </w:rPr>
              <w:t>del</w:t>
            </w:r>
            <w:r w:rsidR="00670B9F" w:rsidRPr="00497BDC">
              <w:rPr>
                <w:rFonts w:ascii="Arial" w:hAnsi="Arial" w:cs="Arial"/>
                <w:sz w:val="18"/>
                <w:szCs w:val="18"/>
              </w:rPr>
              <w:t xml:space="preserve"> cuarto trimestre de 20</w:t>
            </w:r>
            <w:r w:rsidR="0078432C" w:rsidRPr="00497BDC">
              <w:rPr>
                <w:rFonts w:ascii="Arial" w:hAnsi="Arial" w:cs="Arial"/>
                <w:sz w:val="18"/>
                <w:szCs w:val="18"/>
              </w:rPr>
              <w:t>2</w:t>
            </w:r>
            <w:r w:rsidR="004843FE" w:rsidRPr="00497BDC">
              <w:rPr>
                <w:rFonts w:ascii="Arial" w:hAnsi="Arial" w:cs="Arial"/>
                <w:sz w:val="18"/>
                <w:szCs w:val="18"/>
              </w:rPr>
              <w:t>3</w:t>
            </w:r>
            <w:r w:rsidRPr="00497BD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BBA1C37" w14:textId="1FD3FBE0" w:rsidR="002D4A8D" w:rsidRPr="00497BDC" w:rsidRDefault="002D4A8D" w:rsidP="003121C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7BDC">
              <w:rPr>
                <w:rFonts w:ascii="Arial" w:hAnsi="Arial" w:cs="Arial"/>
                <w:b/>
                <w:sz w:val="18"/>
                <w:szCs w:val="18"/>
              </w:rPr>
              <w:t>Normas que otorgan competencia para la expedición de la norma:</w:t>
            </w:r>
            <w:r w:rsidRPr="00497BDC">
              <w:rPr>
                <w:sz w:val="18"/>
                <w:szCs w:val="18"/>
              </w:rPr>
              <w:t xml:space="preserve"> </w:t>
            </w:r>
            <w:r w:rsidR="004843FE" w:rsidRPr="00497BDC"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="0083391B" w:rsidRPr="00497BDC">
              <w:rPr>
                <w:rFonts w:ascii="Arial" w:hAnsi="Arial" w:cs="Arial"/>
                <w:sz w:val="18"/>
                <w:szCs w:val="18"/>
              </w:rPr>
              <w:t>parágrafo primero del artículo quinto de</w:t>
            </w:r>
            <w:r w:rsidR="003121C6" w:rsidRPr="00497B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391B" w:rsidRPr="00497BDC">
              <w:rPr>
                <w:rFonts w:ascii="Arial" w:hAnsi="Arial" w:cs="Arial"/>
                <w:sz w:val="18"/>
                <w:szCs w:val="18"/>
              </w:rPr>
              <w:t>las Resoluciones 001 de 2022 y 003 de 2020, respectivamente</w:t>
            </w:r>
            <w:r w:rsidRPr="00497BD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D9137D" w14:textId="4581EACA" w:rsidR="002D4A8D" w:rsidRPr="00497BDC" w:rsidRDefault="002D4A8D" w:rsidP="004E4D6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7BDC">
              <w:rPr>
                <w:rFonts w:ascii="Arial" w:hAnsi="Arial" w:cs="Arial"/>
                <w:b/>
                <w:sz w:val="18"/>
                <w:szCs w:val="18"/>
              </w:rPr>
              <w:t>Disposiciones derogadas, subrogadas, modificadas, adicionadas o sustituidas:</w:t>
            </w:r>
            <w:r w:rsidRPr="00497B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7BDC" w:rsidRPr="00497BDC">
              <w:rPr>
                <w:rFonts w:ascii="Arial" w:hAnsi="Arial" w:cs="Arial"/>
                <w:sz w:val="18"/>
                <w:szCs w:val="18"/>
              </w:rPr>
              <w:t>La periodicidad de pago y demás estipulaciones de las Resoluciones 001 de 2022 y 003 de 2020, permanecen idénticas y mantienen pleno vigor, salvo en lo que se refiere al pago de la prima del cuarto trimestre de 2023.</w:t>
            </w:r>
          </w:p>
        </w:tc>
      </w:tr>
    </w:tbl>
    <w:p w14:paraId="68C20B5A" w14:textId="77777777" w:rsidR="00476715" w:rsidRPr="00016CBE" w:rsidRDefault="00476715" w:rsidP="00D15797">
      <w:pPr>
        <w:jc w:val="both"/>
        <w:rPr>
          <w:rFonts w:ascii="Arial" w:hAnsi="Arial" w:cs="Arial"/>
        </w:rPr>
      </w:pPr>
    </w:p>
    <w:sectPr w:rsidR="00476715" w:rsidRPr="00016CBE" w:rsidSect="00563D3A">
      <w:headerReference w:type="default" r:id="rId8"/>
      <w:footerReference w:type="default" r:id="rId9"/>
      <w:pgSz w:w="15842" w:h="12242" w:orient="landscape" w:code="1"/>
      <w:pgMar w:top="1701" w:right="1531" w:bottom="1418" w:left="1418" w:header="1077" w:footer="9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10B4F" w14:textId="77777777" w:rsidR="00563D3A" w:rsidRDefault="00563D3A">
      <w:r>
        <w:separator/>
      </w:r>
    </w:p>
  </w:endnote>
  <w:endnote w:type="continuationSeparator" w:id="0">
    <w:p w14:paraId="5A1E7CC4" w14:textId="77777777" w:rsidR="00563D3A" w:rsidRDefault="0056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19393" w14:textId="77777777" w:rsidR="00A24210" w:rsidRDefault="00A24210" w:rsidP="00A24210">
    <w:pPr>
      <w:rPr>
        <w:rFonts w:ascii="Arial" w:hAnsi="Arial" w:cs="Arial"/>
        <w:color w:val="808080"/>
        <w:sz w:val="15"/>
        <w:szCs w:val="15"/>
        <w:lang w:eastAsia="es-CO"/>
      </w:rPr>
    </w:pPr>
  </w:p>
  <w:p w14:paraId="585743D2" w14:textId="5D8B49DB" w:rsidR="00A24210" w:rsidRPr="007F20C6" w:rsidRDefault="00A24210" w:rsidP="00A24210">
    <w:pPr>
      <w:rPr>
        <w:rFonts w:ascii="Arial" w:hAnsi="Arial" w:cs="Arial"/>
        <w:color w:val="808080"/>
        <w:sz w:val="15"/>
        <w:szCs w:val="15"/>
        <w:lang w:val="es-ES_tradnl" w:eastAsia="es-CO"/>
      </w:rPr>
    </w:pPr>
    <w:r w:rsidRPr="007F20C6">
      <w:rPr>
        <w:rFonts w:ascii="Arial" w:hAnsi="Arial" w:cs="Arial"/>
        <w:color w:val="808080"/>
        <w:sz w:val="15"/>
        <w:szCs w:val="15"/>
        <w:lang w:val="es-ES_tradnl" w:eastAsia="es-CO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</w:p>
  <w:p w14:paraId="26D1ABD4" w14:textId="5DBC13BC" w:rsidR="00A24210" w:rsidRPr="007F20C6" w:rsidRDefault="00A24210" w:rsidP="00A24210">
    <w:pPr>
      <w:rPr>
        <w:rFonts w:ascii="Arial" w:hAnsi="Arial" w:cs="Arial"/>
        <w:color w:val="808080"/>
        <w:sz w:val="15"/>
        <w:szCs w:val="15"/>
        <w:lang w:val="es-ES_tradnl" w:eastAsia="es-CO"/>
      </w:rPr>
    </w:pPr>
    <w:r w:rsidRPr="007F20C6">
      <w:rPr>
        <w:rFonts w:ascii="Arial" w:hAnsi="Arial" w:cs="Arial"/>
        <w:noProof/>
        <w:color w:val="808080"/>
        <w:sz w:val="15"/>
        <w:szCs w:val="15"/>
        <w:lang w:val="es-ES_tradnl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792D30" wp14:editId="3169740D">
              <wp:simplePos x="0" y="0"/>
              <wp:positionH relativeFrom="column">
                <wp:posOffset>-5080</wp:posOffset>
              </wp:positionH>
              <wp:positionV relativeFrom="paragraph">
                <wp:posOffset>19051</wp:posOffset>
              </wp:positionV>
              <wp:extent cx="11534775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53477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2B2F33" id="Conector recto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.5pt" to="907.8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" strokecolor="#a5a5a5 [2092]">
              <v:stroke joinstyle="miter"/>
            </v:line>
          </w:pict>
        </mc:Fallback>
      </mc:AlternateContent>
    </w:r>
    <w:r w:rsidRPr="007F20C6">
      <w:rPr>
        <w:rFonts w:ascii="Arial" w:hAnsi="Arial" w:cs="Arial"/>
        <w:color w:val="808080"/>
        <w:sz w:val="15"/>
        <w:szCs w:val="15"/>
        <w:lang w:val="es-ES_tradnl" w:eastAsia="es-CO"/>
      </w:rPr>
      <w:t xml:space="preserve">  </w:t>
    </w:r>
  </w:p>
  <w:p w14:paraId="54B9A401" w14:textId="134DF981" w:rsidR="00A24210" w:rsidRPr="00FF5F15" w:rsidRDefault="00A24210" w:rsidP="00A24210">
    <w:pPr>
      <w:rPr>
        <w:rFonts w:ascii="Arial" w:hAnsi="Arial" w:cs="Arial"/>
        <w:color w:val="808080"/>
        <w:sz w:val="16"/>
        <w:szCs w:val="16"/>
        <w:lang w:val="es-ES_tradnl" w:eastAsia="es-CO"/>
      </w:rPr>
    </w:pPr>
    <w:r>
      <w:rPr>
        <w:rFonts w:ascii="Arial" w:hAnsi="Arial" w:cs="Arial"/>
        <w:noProof/>
        <w:color w:val="808080"/>
        <w:sz w:val="16"/>
        <w:szCs w:val="16"/>
        <w:lang w:eastAsia="es-CO"/>
      </w:rPr>
      <w:drawing>
        <wp:anchor distT="0" distB="0" distL="114300" distR="114300" simplePos="0" relativeHeight="251660288" behindDoc="1" locked="0" layoutInCell="1" allowOverlap="1" wp14:anchorId="24088D59" wp14:editId="302A46B5">
          <wp:simplePos x="0" y="0"/>
          <wp:positionH relativeFrom="column">
            <wp:posOffset>5681764</wp:posOffset>
          </wp:positionH>
          <wp:positionV relativeFrom="paragraph">
            <wp:posOffset>97074</wp:posOffset>
          </wp:positionV>
          <wp:extent cx="2498725" cy="397510"/>
          <wp:effectExtent l="0" t="0" r="0" b="254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725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F5F15">
      <w:rPr>
        <w:rFonts w:ascii="Arial" w:hAnsi="Arial" w:cs="Arial"/>
        <w:color w:val="808080"/>
        <w:sz w:val="16"/>
        <w:szCs w:val="16"/>
        <w:lang w:val="es-ES_tradnl" w:eastAsia="es-CO"/>
      </w:rPr>
      <w:t xml:space="preserve">Carrera 7 # 35 – 40, Bogotá, Colombia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70D598D8" w14:textId="77777777" w:rsidR="00A24210" w:rsidRPr="00FF5F15" w:rsidRDefault="00A24210" w:rsidP="00A24210">
    <w:pPr>
      <w:rPr>
        <w:rFonts w:ascii="Arial" w:hAnsi="Arial" w:cs="Arial"/>
        <w:color w:val="808080"/>
        <w:sz w:val="16"/>
        <w:szCs w:val="16"/>
        <w:lang w:val="es-ES_tradnl" w:eastAsia="es-CO"/>
      </w:rPr>
    </w:pPr>
    <w:r w:rsidRPr="00FF5F15">
      <w:rPr>
        <w:rFonts w:ascii="Arial" w:hAnsi="Arial" w:cs="Arial"/>
        <w:color w:val="808080"/>
        <w:sz w:val="16"/>
        <w:szCs w:val="16"/>
        <w:lang w:val="es-ES_tradnl" w:eastAsia="es-CO"/>
      </w:rPr>
      <w:t xml:space="preserve">CP 110311                                                                      </w:t>
    </w:r>
  </w:p>
  <w:p w14:paraId="4D55988B" w14:textId="77777777" w:rsidR="00A24210" w:rsidRPr="00FF5F15" w:rsidRDefault="00A24210" w:rsidP="00A24210">
    <w:pPr>
      <w:rPr>
        <w:rFonts w:ascii="Arial" w:hAnsi="Arial" w:cs="Arial"/>
        <w:color w:val="808080"/>
        <w:sz w:val="16"/>
        <w:szCs w:val="16"/>
        <w:lang w:val="es-ES_tradnl" w:eastAsia="es-CO"/>
      </w:rPr>
    </w:pPr>
    <w:r w:rsidRPr="00FF5F15">
      <w:rPr>
        <w:rFonts w:ascii="Arial" w:hAnsi="Arial" w:cs="Arial"/>
        <w:color w:val="808080"/>
        <w:sz w:val="16"/>
        <w:szCs w:val="16"/>
        <w:lang w:val="es-ES_tradnl" w:eastAsia="es-CO"/>
      </w:rPr>
      <w:t>Tel: +571 3394240 Fax: +571 2858587</w:t>
    </w:r>
  </w:p>
  <w:p w14:paraId="7C9ADB5D" w14:textId="2760E4F7" w:rsidR="00A209A4" w:rsidRPr="005F44F9" w:rsidRDefault="00A24210" w:rsidP="00A24210">
    <w:pPr>
      <w:rPr>
        <w:rFonts w:ascii="Arial" w:hAnsi="Arial" w:cs="Arial"/>
        <w:sz w:val="20"/>
        <w:szCs w:val="20"/>
        <w:lang w:val="pt-BR"/>
      </w:rPr>
    </w:pPr>
    <w:r w:rsidRPr="00FF5F15">
      <w:rPr>
        <w:rFonts w:ascii="Arial" w:hAnsi="Arial" w:cs="Arial"/>
        <w:color w:val="808080"/>
        <w:sz w:val="16"/>
        <w:szCs w:val="16"/>
        <w:lang w:val="es-ES_tradnl" w:eastAsia="es-CO"/>
      </w:rPr>
      <w:t xml:space="preserve">www.fogafin.gov.co </w:t>
    </w:r>
    <w:r w:rsidR="00A209A4" w:rsidRPr="005F44F9">
      <w:rPr>
        <w:rFonts w:ascii="Arial" w:hAnsi="Arial" w:cs="Arial"/>
        <w:sz w:val="20"/>
        <w:szCs w:val="20"/>
        <w:lang w:val="pt-BR"/>
      </w:rPr>
      <w:t xml:space="preserve">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35FA4" w14:textId="77777777" w:rsidR="00563D3A" w:rsidRDefault="00563D3A">
      <w:r>
        <w:separator/>
      </w:r>
    </w:p>
  </w:footnote>
  <w:footnote w:type="continuationSeparator" w:id="0">
    <w:p w14:paraId="3C534593" w14:textId="77777777" w:rsidR="00563D3A" w:rsidRDefault="00563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5F409" w14:textId="634200F2" w:rsidR="00A209A4" w:rsidRDefault="00A24210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62B356D" wp14:editId="04DB2C03">
          <wp:simplePos x="0" y="0"/>
          <wp:positionH relativeFrom="margin">
            <wp:align>left</wp:align>
          </wp:positionH>
          <wp:positionV relativeFrom="paragraph">
            <wp:posOffset>-389107</wp:posOffset>
          </wp:positionV>
          <wp:extent cx="1647825" cy="792480"/>
          <wp:effectExtent l="0" t="0" r="0" b="0"/>
          <wp:wrapNone/>
          <wp:docPr id="1511584838" name="Imagen 1" descr="C:\Users\srivera\Desktop\Logo de gobier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584838" name="Imagen 1511584838" descr="C:\Users\srivera\Desktop\Logo de gobierno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B5945"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 wp14:anchorId="5E46E484" wp14:editId="47AA708A">
          <wp:simplePos x="0" y="0"/>
          <wp:positionH relativeFrom="column">
            <wp:posOffset>6555780</wp:posOffset>
          </wp:positionH>
          <wp:positionV relativeFrom="paragraph">
            <wp:posOffset>-505460</wp:posOffset>
          </wp:positionV>
          <wp:extent cx="1838325" cy="681355"/>
          <wp:effectExtent l="0" t="0" r="0" b="0"/>
          <wp:wrapNone/>
          <wp:docPr id="15" name="Imagen 1" descr="C:\Users\njimenez\AppData\Local\Microsoft\Windows\Temporary Internet Files\Content.Outlook\ICQNTHMT\logo fogafín -0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njimenez\AppData\Local\Microsoft\Windows\Temporary Internet Files\Content.Outlook\ICQNTHMT\logo fogafín -02 (2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3D453F"/>
    <w:multiLevelType w:val="hybridMultilevel"/>
    <w:tmpl w:val="19FC586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C3C34"/>
    <w:multiLevelType w:val="hybridMultilevel"/>
    <w:tmpl w:val="0840010A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4259140">
    <w:abstractNumId w:val="1"/>
  </w:num>
  <w:num w:numId="2" w16cid:durableId="123805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715"/>
    <w:rsid w:val="00014A69"/>
    <w:rsid w:val="00016CBE"/>
    <w:rsid w:val="00073126"/>
    <w:rsid w:val="0007325B"/>
    <w:rsid w:val="000772EF"/>
    <w:rsid w:val="00095FF5"/>
    <w:rsid w:val="000B07D5"/>
    <w:rsid w:val="000C54E8"/>
    <w:rsid w:val="000D7315"/>
    <w:rsid w:val="000E2A6D"/>
    <w:rsid w:val="000E6539"/>
    <w:rsid w:val="000E6FE4"/>
    <w:rsid w:val="000F6342"/>
    <w:rsid w:val="000F7763"/>
    <w:rsid w:val="001163CD"/>
    <w:rsid w:val="00123142"/>
    <w:rsid w:val="00141E63"/>
    <w:rsid w:val="00193F53"/>
    <w:rsid w:val="001D1882"/>
    <w:rsid w:val="001E7CFF"/>
    <w:rsid w:val="001F554B"/>
    <w:rsid w:val="001F790A"/>
    <w:rsid w:val="00222013"/>
    <w:rsid w:val="00230925"/>
    <w:rsid w:val="00241959"/>
    <w:rsid w:val="00265CB9"/>
    <w:rsid w:val="00277043"/>
    <w:rsid w:val="002946F1"/>
    <w:rsid w:val="00297313"/>
    <w:rsid w:val="002A7E33"/>
    <w:rsid w:val="002D4A8D"/>
    <w:rsid w:val="00300DE1"/>
    <w:rsid w:val="0031098A"/>
    <w:rsid w:val="003121C6"/>
    <w:rsid w:val="00326610"/>
    <w:rsid w:val="00341312"/>
    <w:rsid w:val="003636B0"/>
    <w:rsid w:val="00365F71"/>
    <w:rsid w:val="0038117F"/>
    <w:rsid w:val="00386D15"/>
    <w:rsid w:val="00391802"/>
    <w:rsid w:val="003924C9"/>
    <w:rsid w:val="003A137B"/>
    <w:rsid w:val="003D0F36"/>
    <w:rsid w:val="003E7B24"/>
    <w:rsid w:val="003F069E"/>
    <w:rsid w:val="003F10C2"/>
    <w:rsid w:val="003F3155"/>
    <w:rsid w:val="003F6B36"/>
    <w:rsid w:val="00402F37"/>
    <w:rsid w:val="00416BFB"/>
    <w:rsid w:val="00433B31"/>
    <w:rsid w:val="0046219C"/>
    <w:rsid w:val="0047404C"/>
    <w:rsid w:val="0047628E"/>
    <w:rsid w:val="00476715"/>
    <w:rsid w:val="004808CE"/>
    <w:rsid w:val="004843FE"/>
    <w:rsid w:val="00495454"/>
    <w:rsid w:val="00497BDC"/>
    <w:rsid w:val="004A5C9C"/>
    <w:rsid w:val="004B6E54"/>
    <w:rsid w:val="004C06DC"/>
    <w:rsid w:val="004C3BFF"/>
    <w:rsid w:val="004D6CCE"/>
    <w:rsid w:val="004E035E"/>
    <w:rsid w:val="004E4D63"/>
    <w:rsid w:val="004F33E5"/>
    <w:rsid w:val="005058D8"/>
    <w:rsid w:val="00531DAC"/>
    <w:rsid w:val="005439C5"/>
    <w:rsid w:val="0055500C"/>
    <w:rsid w:val="00563D3A"/>
    <w:rsid w:val="00580AB7"/>
    <w:rsid w:val="005849E1"/>
    <w:rsid w:val="005A5BC4"/>
    <w:rsid w:val="005A6CDA"/>
    <w:rsid w:val="005C21E3"/>
    <w:rsid w:val="005E4483"/>
    <w:rsid w:val="005F44F9"/>
    <w:rsid w:val="005F7AAF"/>
    <w:rsid w:val="00600A97"/>
    <w:rsid w:val="00611091"/>
    <w:rsid w:val="0062157E"/>
    <w:rsid w:val="00627497"/>
    <w:rsid w:val="00641C2E"/>
    <w:rsid w:val="00644B03"/>
    <w:rsid w:val="00644B56"/>
    <w:rsid w:val="006522DC"/>
    <w:rsid w:val="006646E6"/>
    <w:rsid w:val="00664C89"/>
    <w:rsid w:val="00667F7B"/>
    <w:rsid w:val="00670B9F"/>
    <w:rsid w:val="006761FB"/>
    <w:rsid w:val="0067735D"/>
    <w:rsid w:val="00681F70"/>
    <w:rsid w:val="006E0890"/>
    <w:rsid w:val="006F695C"/>
    <w:rsid w:val="006F722D"/>
    <w:rsid w:val="00713445"/>
    <w:rsid w:val="0072586C"/>
    <w:rsid w:val="007277E9"/>
    <w:rsid w:val="00727B4C"/>
    <w:rsid w:val="00734A1A"/>
    <w:rsid w:val="00735161"/>
    <w:rsid w:val="00744DE2"/>
    <w:rsid w:val="00764C07"/>
    <w:rsid w:val="00770257"/>
    <w:rsid w:val="00773771"/>
    <w:rsid w:val="0078432C"/>
    <w:rsid w:val="00785EF4"/>
    <w:rsid w:val="00786BD0"/>
    <w:rsid w:val="007B5FD2"/>
    <w:rsid w:val="007D1BA0"/>
    <w:rsid w:val="007D7658"/>
    <w:rsid w:val="007F5F25"/>
    <w:rsid w:val="008008A1"/>
    <w:rsid w:val="00830950"/>
    <w:rsid w:val="0083391B"/>
    <w:rsid w:val="00846EB3"/>
    <w:rsid w:val="00854F4C"/>
    <w:rsid w:val="0088189D"/>
    <w:rsid w:val="00885935"/>
    <w:rsid w:val="008A456D"/>
    <w:rsid w:val="008C6BAB"/>
    <w:rsid w:val="009359B7"/>
    <w:rsid w:val="009451BD"/>
    <w:rsid w:val="0094579D"/>
    <w:rsid w:val="00951758"/>
    <w:rsid w:val="00953EBD"/>
    <w:rsid w:val="00976C9B"/>
    <w:rsid w:val="00985C73"/>
    <w:rsid w:val="00990B9A"/>
    <w:rsid w:val="009946A7"/>
    <w:rsid w:val="009C2160"/>
    <w:rsid w:val="009E30D9"/>
    <w:rsid w:val="009F3B86"/>
    <w:rsid w:val="009F5F74"/>
    <w:rsid w:val="00A16B7D"/>
    <w:rsid w:val="00A209A4"/>
    <w:rsid w:val="00A24210"/>
    <w:rsid w:val="00A24694"/>
    <w:rsid w:val="00A325EE"/>
    <w:rsid w:val="00A543FF"/>
    <w:rsid w:val="00A56AB7"/>
    <w:rsid w:val="00AA5C47"/>
    <w:rsid w:val="00AB4879"/>
    <w:rsid w:val="00AC5C3A"/>
    <w:rsid w:val="00AE00C0"/>
    <w:rsid w:val="00B95E58"/>
    <w:rsid w:val="00BC506F"/>
    <w:rsid w:val="00BD229D"/>
    <w:rsid w:val="00C22D08"/>
    <w:rsid w:val="00C42728"/>
    <w:rsid w:val="00C550F0"/>
    <w:rsid w:val="00C62387"/>
    <w:rsid w:val="00C86B40"/>
    <w:rsid w:val="00C90F1B"/>
    <w:rsid w:val="00C93D1F"/>
    <w:rsid w:val="00C966F3"/>
    <w:rsid w:val="00CB0938"/>
    <w:rsid w:val="00CB3D4B"/>
    <w:rsid w:val="00CB5945"/>
    <w:rsid w:val="00CC1411"/>
    <w:rsid w:val="00CD5F0C"/>
    <w:rsid w:val="00CE33B8"/>
    <w:rsid w:val="00CE5678"/>
    <w:rsid w:val="00D00148"/>
    <w:rsid w:val="00D15797"/>
    <w:rsid w:val="00D475A0"/>
    <w:rsid w:val="00D60928"/>
    <w:rsid w:val="00D63F62"/>
    <w:rsid w:val="00D7782A"/>
    <w:rsid w:val="00D911F4"/>
    <w:rsid w:val="00DA660A"/>
    <w:rsid w:val="00DC406E"/>
    <w:rsid w:val="00DD13DC"/>
    <w:rsid w:val="00DD1B99"/>
    <w:rsid w:val="00DD5040"/>
    <w:rsid w:val="00DE77D6"/>
    <w:rsid w:val="00DF5968"/>
    <w:rsid w:val="00E01465"/>
    <w:rsid w:val="00E21865"/>
    <w:rsid w:val="00E3047E"/>
    <w:rsid w:val="00E5298B"/>
    <w:rsid w:val="00E52C60"/>
    <w:rsid w:val="00E65608"/>
    <w:rsid w:val="00E76133"/>
    <w:rsid w:val="00EB0494"/>
    <w:rsid w:val="00ED3F3E"/>
    <w:rsid w:val="00ED5888"/>
    <w:rsid w:val="00EE6098"/>
    <w:rsid w:val="00EE69C3"/>
    <w:rsid w:val="00EF0365"/>
    <w:rsid w:val="00EF49AB"/>
    <w:rsid w:val="00EF618A"/>
    <w:rsid w:val="00F05CF5"/>
    <w:rsid w:val="00F07ADC"/>
    <w:rsid w:val="00F11E2A"/>
    <w:rsid w:val="00F304D5"/>
    <w:rsid w:val="00F32178"/>
    <w:rsid w:val="00F65011"/>
    <w:rsid w:val="00F865EE"/>
    <w:rsid w:val="00F872B8"/>
    <w:rsid w:val="00FB063C"/>
    <w:rsid w:val="00FC5E42"/>
    <w:rsid w:val="00FD0373"/>
    <w:rsid w:val="00FE5DE0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71B7624"/>
  <w15:docId w15:val="{A40E6CA9-C0E8-4483-B765-3E6833FE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D6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5439C5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rsid w:val="005F44F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F44F9"/>
  </w:style>
  <w:style w:type="character" w:customStyle="1" w:styleId="PiedepginaCar">
    <w:name w:val="Pie de página Car"/>
    <w:link w:val="Piedepgina"/>
    <w:locked/>
    <w:rsid w:val="009946A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A325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325EE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47628E"/>
    <w:pPr>
      <w:ind w:left="720"/>
      <w:contextualSpacing/>
    </w:pPr>
  </w:style>
  <w:style w:type="paragraph" w:styleId="Textoindependiente">
    <w:name w:val="Body Text"/>
    <w:basedOn w:val="Normal"/>
    <w:link w:val="TextoindependienteCar"/>
    <w:unhideWhenUsed/>
    <w:rsid w:val="000D7315"/>
    <w:pPr>
      <w:jc w:val="both"/>
    </w:pPr>
    <w:rPr>
      <w:rFonts w:ascii="Arial" w:hAnsi="Arial" w:cs="Arial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0D7315"/>
    <w:rPr>
      <w:rFonts w:ascii="Arial" w:hAnsi="Arial" w:cs="Arial"/>
      <w:sz w:val="24"/>
      <w:szCs w:val="24"/>
      <w:lang w:eastAsia="es-ES"/>
    </w:rPr>
  </w:style>
  <w:style w:type="paragraph" w:customStyle="1" w:styleId="Default">
    <w:name w:val="Default"/>
    <w:rsid w:val="006773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FBE97-EF6C-4E3F-85D4-9CFD4E5E8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INTERNA</vt:lpstr>
    </vt:vector>
  </TitlesOfParts>
  <Company>INDTITUCIONES FINANCIERAS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INTERNA</dc:title>
  <dc:creator>FONDO DE GARANTIAS DE</dc:creator>
  <cp:lastModifiedBy>Fondo de Garantías de Instituciones Financieras </cp:lastModifiedBy>
  <cp:revision>3</cp:revision>
  <cp:lastPrinted>2017-08-17T20:22:00Z</cp:lastPrinted>
  <dcterms:created xsi:type="dcterms:W3CDTF">2024-05-02T13:51:00Z</dcterms:created>
  <dcterms:modified xsi:type="dcterms:W3CDTF">2024-05-02T13:55:00Z</dcterms:modified>
</cp:coreProperties>
</file>