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8CB99" w14:textId="77777777" w:rsidR="00E43960" w:rsidRDefault="00E43960" w:rsidP="008168E2">
      <w:pPr>
        <w:contextualSpacing/>
        <w:jc w:val="center"/>
        <w:rPr>
          <w:rFonts w:ascii="Arial" w:hAnsi="Arial" w:cs="Arial"/>
          <w:b/>
          <w:sz w:val="25"/>
          <w:szCs w:val="25"/>
        </w:rPr>
      </w:pPr>
    </w:p>
    <w:p w14:paraId="51E06B53" w14:textId="77777777" w:rsidR="00E43960" w:rsidRDefault="00E43960" w:rsidP="008168E2">
      <w:pPr>
        <w:contextualSpacing/>
        <w:jc w:val="center"/>
        <w:rPr>
          <w:rFonts w:ascii="Arial" w:hAnsi="Arial" w:cs="Arial"/>
          <w:b/>
          <w:sz w:val="25"/>
          <w:szCs w:val="25"/>
        </w:rPr>
      </w:pPr>
    </w:p>
    <w:p w14:paraId="435D4435" w14:textId="77777777" w:rsidR="00AE0134" w:rsidRDefault="004D6CCE" w:rsidP="008168E2">
      <w:pPr>
        <w:contextualSpacing/>
        <w:jc w:val="center"/>
        <w:rPr>
          <w:rFonts w:ascii="Arial" w:hAnsi="Arial" w:cs="Arial"/>
          <w:b/>
          <w:sz w:val="25"/>
          <w:szCs w:val="25"/>
        </w:rPr>
      </w:pPr>
      <w:r w:rsidRPr="008802DD">
        <w:rPr>
          <w:rFonts w:ascii="Arial" w:hAnsi="Arial" w:cs="Arial"/>
          <w:b/>
          <w:sz w:val="25"/>
          <w:szCs w:val="25"/>
        </w:rPr>
        <w:t>C</w:t>
      </w:r>
      <w:r w:rsidR="00476715" w:rsidRPr="008802DD">
        <w:rPr>
          <w:rFonts w:ascii="Arial" w:hAnsi="Arial" w:cs="Arial"/>
          <w:b/>
          <w:sz w:val="25"/>
          <w:szCs w:val="25"/>
        </w:rPr>
        <w:t xml:space="preserve">IRCULAR </w:t>
      </w:r>
      <w:r w:rsidR="00E43960">
        <w:rPr>
          <w:rFonts w:ascii="Arial" w:hAnsi="Arial" w:cs="Arial"/>
          <w:b/>
          <w:sz w:val="25"/>
          <w:szCs w:val="25"/>
        </w:rPr>
        <w:t>EXTER</w:t>
      </w:r>
      <w:r w:rsidR="00E43960" w:rsidRPr="008802DD">
        <w:rPr>
          <w:rFonts w:ascii="Arial" w:hAnsi="Arial" w:cs="Arial"/>
          <w:b/>
          <w:sz w:val="25"/>
          <w:szCs w:val="25"/>
        </w:rPr>
        <w:t>NA</w:t>
      </w:r>
    </w:p>
    <w:p w14:paraId="04DADA20" w14:textId="77777777" w:rsidR="00AE0134" w:rsidRDefault="00AE0134" w:rsidP="008168E2">
      <w:pPr>
        <w:contextualSpacing/>
        <w:jc w:val="center"/>
        <w:rPr>
          <w:rFonts w:ascii="Arial" w:hAnsi="Arial" w:cs="Arial"/>
          <w:b/>
          <w:sz w:val="25"/>
          <w:szCs w:val="25"/>
        </w:rPr>
      </w:pPr>
    </w:p>
    <w:p w14:paraId="55C6E37A" w14:textId="43E68172" w:rsidR="00476715" w:rsidRDefault="00AE0134" w:rsidP="008168E2">
      <w:pPr>
        <w:contextualSpacing/>
        <w:jc w:val="center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XXX</w:t>
      </w:r>
    </w:p>
    <w:p w14:paraId="22C86D91" w14:textId="77777777" w:rsidR="00696DFB" w:rsidRPr="008802DD" w:rsidRDefault="00696DFB" w:rsidP="008168E2">
      <w:pPr>
        <w:contextualSpacing/>
        <w:jc w:val="center"/>
        <w:rPr>
          <w:rFonts w:ascii="Arial" w:hAnsi="Arial" w:cs="Arial"/>
          <w:b/>
          <w:sz w:val="25"/>
          <w:szCs w:val="25"/>
        </w:rPr>
      </w:pPr>
    </w:p>
    <w:p w14:paraId="2826C24E" w14:textId="0BD915C6" w:rsidR="00E43960" w:rsidRPr="008802DD" w:rsidRDefault="008802DD" w:rsidP="008168E2">
      <w:pPr>
        <w:contextualSpacing/>
        <w:jc w:val="both"/>
        <w:rPr>
          <w:rFonts w:ascii="Arial" w:hAnsi="Arial" w:cs="Arial"/>
          <w:sz w:val="25"/>
          <w:szCs w:val="25"/>
        </w:rPr>
      </w:pPr>
      <w:r w:rsidRPr="00094064">
        <w:rPr>
          <w:rFonts w:ascii="Arial" w:hAnsi="Arial" w:cs="Arial"/>
          <w:sz w:val="25"/>
          <w:szCs w:val="25"/>
        </w:rPr>
        <w:t xml:space="preserve">Bogotá, D.C., </w:t>
      </w:r>
    </w:p>
    <w:p w14:paraId="2E20F072" w14:textId="77777777" w:rsidR="008802DD" w:rsidRPr="008802DD" w:rsidRDefault="008802DD" w:rsidP="008168E2">
      <w:pPr>
        <w:contextualSpacing/>
        <w:jc w:val="both"/>
        <w:rPr>
          <w:rFonts w:ascii="Arial" w:hAnsi="Arial" w:cs="Arial"/>
          <w:sz w:val="25"/>
          <w:szCs w:val="25"/>
        </w:rPr>
      </w:pPr>
    </w:p>
    <w:p w14:paraId="61C5AD2D" w14:textId="77777777" w:rsidR="00132646" w:rsidRDefault="00132646" w:rsidP="008168E2">
      <w:pPr>
        <w:ind w:left="1134" w:hanging="1134"/>
        <w:contextualSpacing/>
        <w:jc w:val="both"/>
        <w:rPr>
          <w:rFonts w:ascii="Arial" w:hAnsi="Arial" w:cs="Arial"/>
          <w:sz w:val="25"/>
          <w:szCs w:val="25"/>
        </w:rPr>
      </w:pPr>
    </w:p>
    <w:p w14:paraId="40B505C7" w14:textId="73AEE6C5" w:rsidR="008802DD" w:rsidRPr="008802DD" w:rsidRDefault="008802DD" w:rsidP="008168E2">
      <w:pPr>
        <w:ind w:left="1134" w:hanging="1134"/>
        <w:contextualSpacing/>
        <w:jc w:val="both"/>
        <w:rPr>
          <w:rFonts w:ascii="Arial" w:hAnsi="Arial" w:cs="Arial"/>
          <w:sz w:val="25"/>
          <w:szCs w:val="25"/>
        </w:rPr>
      </w:pPr>
      <w:r w:rsidRPr="008802DD">
        <w:rPr>
          <w:rFonts w:ascii="Arial" w:hAnsi="Arial" w:cs="Arial"/>
          <w:sz w:val="25"/>
          <w:szCs w:val="25"/>
        </w:rPr>
        <w:t xml:space="preserve">PARA: </w:t>
      </w:r>
      <w:r w:rsidRPr="008802DD">
        <w:rPr>
          <w:rFonts w:ascii="Arial" w:hAnsi="Arial" w:cs="Arial"/>
          <w:sz w:val="25"/>
          <w:szCs w:val="25"/>
        </w:rPr>
        <w:tab/>
      </w:r>
      <w:r w:rsidR="00F90B2F">
        <w:rPr>
          <w:rFonts w:ascii="Arial" w:hAnsi="Arial" w:cs="Arial"/>
          <w:sz w:val="25"/>
          <w:szCs w:val="25"/>
        </w:rPr>
        <w:t xml:space="preserve">Sociedades Especializadas </w:t>
      </w:r>
      <w:r w:rsidR="00F312F3">
        <w:rPr>
          <w:rFonts w:ascii="Arial" w:hAnsi="Arial" w:cs="Arial"/>
          <w:sz w:val="25"/>
          <w:szCs w:val="25"/>
        </w:rPr>
        <w:t xml:space="preserve">en </w:t>
      </w:r>
      <w:r w:rsidR="00F90B2F">
        <w:rPr>
          <w:rFonts w:ascii="Arial" w:hAnsi="Arial" w:cs="Arial"/>
          <w:sz w:val="25"/>
          <w:szCs w:val="25"/>
        </w:rPr>
        <w:t xml:space="preserve">Depósitos </w:t>
      </w:r>
      <w:r w:rsidR="000C4586">
        <w:rPr>
          <w:rFonts w:ascii="Arial" w:hAnsi="Arial" w:cs="Arial"/>
          <w:sz w:val="25"/>
          <w:szCs w:val="25"/>
        </w:rPr>
        <w:t>y Pagos</w:t>
      </w:r>
      <w:r w:rsidR="00BE2418">
        <w:rPr>
          <w:rFonts w:ascii="Arial" w:hAnsi="Arial" w:cs="Arial"/>
          <w:sz w:val="25"/>
          <w:szCs w:val="25"/>
        </w:rPr>
        <w:t xml:space="preserve"> </w:t>
      </w:r>
      <w:r w:rsidR="00F312F3">
        <w:rPr>
          <w:rFonts w:ascii="Arial" w:hAnsi="Arial" w:cs="Arial"/>
          <w:sz w:val="25"/>
          <w:szCs w:val="25"/>
        </w:rPr>
        <w:t>Electrónicos</w:t>
      </w:r>
      <w:r w:rsidR="008168E2">
        <w:rPr>
          <w:rFonts w:ascii="Arial" w:hAnsi="Arial" w:cs="Arial"/>
          <w:sz w:val="25"/>
          <w:szCs w:val="25"/>
        </w:rPr>
        <w:t xml:space="preserve"> </w:t>
      </w:r>
      <w:r w:rsidR="00F90B2F">
        <w:rPr>
          <w:rFonts w:ascii="Arial" w:hAnsi="Arial" w:cs="Arial"/>
          <w:sz w:val="25"/>
          <w:szCs w:val="25"/>
        </w:rPr>
        <w:t xml:space="preserve">(SEDPE) </w:t>
      </w:r>
      <w:r w:rsidR="0052584A">
        <w:rPr>
          <w:rFonts w:ascii="Arial" w:hAnsi="Arial" w:cs="Arial"/>
          <w:sz w:val="25"/>
          <w:szCs w:val="25"/>
        </w:rPr>
        <w:t>inscritas</w:t>
      </w:r>
      <w:r w:rsidR="00D0600A">
        <w:rPr>
          <w:rFonts w:ascii="Arial" w:hAnsi="Arial" w:cs="Arial"/>
          <w:sz w:val="25"/>
          <w:szCs w:val="25"/>
        </w:rPr>
        <w:t xml:space="preserve"> en el Fondo de Garantías de Instituciones Financieras</w:t>
      </w:r>
      <w:r w:rsidR="0052584A">
        <w:rPr>
          <w:rFonts w:ascii="Arial" w:hAnsi="Arial" w:cs="Arial"/>
          <w:sz w:val="25"/>
          <w:szCs w:val="25"/>
        </w:rPr>
        <w:t>.</w:t>
      </w:r>
    </w:p>
    <w:p w14:paraId="7BAB7E41" w14:textId="77777777" w:rsidR="008802DD" w:rsidRPr="008802DD" w:rsidRDefault="008802DD" w:rsidP="008168E2">
      <w:pPr>
        <w:contextualSpacing/>
        <w:jc w:val="both"/>
        <w:rPr>
          <w:rFonts w:ascii="Arial" w:hAnsi="Arial" w:cs="Arial"/>
          <w:sz w:val="25"/>
          <w:szCs w:val="25"/>
        </w:rPr>
      </w:pPr>
    </w:p>
    <w:p w14:paraId="7D177115" w14:textId="4ADEC6DE" w:rsidR="008802DD" w:rsidRPr="008802DD" w:rsidRDefault="008802DD" w:rsidP="008168E2">
      <w:pPr>
        <w:ind w:left="1134" w:hanging="1134"/>
        <w:contextualSpacing/>
        <w:jc w:val="both"/>
        <w:rPr>
          <w:rFonts w:ascii="Arial" w:hAnsi="Arial" w:cs="Arial"/>
          <w:sz w:val="25"/>
          <w:szCs w:val="25"/>
        </w:rPr>
      </w:pPr>
      <w:r w:rsidRPr="008802DD">
        <w:rPr>
          <w:rFonts w:ascii="Arial" w:hAnsi="Arial" w:cs="Arial"/>
          <w:sz w:val="25"/>
          <w:szCs w:val="25"/>
        </w:rPr>
        <w:t xml:space="preserve">Asunto: </w:t>
      </w:r>
      <w:r w:rsidRPr="008802DD">
        <w:rPr>
          <w:rFonts w:ascii="Arial" w:hAnsi="Arial" w:cs="Arial"/>
          <w:sz w:val="25"/>
          <w:szCs w:val="25"/>
        </w:rPr>
        <w:tab/>
        <w:t>Guía metodológica para</w:t>
      </w:r>
      <w:r w:rsidR="00723034">
        <w:rPr>
          <w:rFonts w:ascii="Arial" w:hAnsi="Arial" w:cs="Arial"/>
          <w:sz w:val="25"/>
          <w:szCs w:val="25"/>
        </w:rPr>
        <w:t xml:space="preserve"> realizar el proceso de cálculo y </w:t>
      </w:r>
      <w:r w:rsidR="00E32214">
        <w:rPr>
          <w:rFonts w:ascii="Arial" w:hAnsi="Arial" w:cs="Arial"/>
          <w:sz w:val="25"/>
          <w:szCs w:val="25"/>
        </w:rPr>
        <w:t>liquidación</w:t>
      </w:r>
      <w:r w:rsidR="00FF2F2E">
        <w:rPr>
          <w:rFonts w:ascii="Arial" w:hAnsi="Arial" w:cs="Arial"/>
          <w:sz w:val="25"/>
          <w:szCs w:val="25"/>
        </w:rPr>
        <w:t xml:space="preserve"> </w:t>
      </w:r>
      <w:r w:rsidR="00FF2F2E" w:rsidRPr="008802DD">
        <w:rPr>
          <w:rFonts w:ascii="Arial" w:hAnsi="Arial" w:cs="Arial"/>
          <w:sz w:val="25"/>
          <w:szCs w:val="25"/>
        </w:rPr>
        <w:t>de</w:t>
      </w:r>
      <w:r w:rsidR="00723034">
        <w:rPr>
          <w:rFonts w:ascii="Arial" w:hAnsi="Arial" w:cs="Arial"/>
          <w:sz w:val="25"/>
          <w:szCs w:val="25"/>
        </w:rPr>
        <w:t xml:space="preserve"> la prima de</w:t>
      </w:r>
      <w:r w:rsidR="00247143">
        <w:rPr>
          <w:rFonts w:ascii="Arial" w:hAnsi="Arial" w:cs="Arial"/>
          <w:sz w:val="25"/>
          <w:szCs w:val="25"/>
        </w:rPr>
        <w:t>l</w:t>
      </w:r>
      <w:r w:rsidR="00723034">
        <w:rPr>
          <w:rFonts w:ascii="Arial" w:hAnsi="Arial" w:cs="Arial"/>
          <w:sz w:val="25"/>
          <w:szCs w:val="25"/>
        </w:rPr>
        <w:t xml:space="preserve"> </w:t>
      </w:r>
      <w:r w:rsidR="00FF2F2E">
        <w:rPr>
          <w:rFonts w:ascii="Arial" w:hAnsi="Arial" w:cs="Arial"/>
          <w:sz w:val="25"/>
          <w:szCs w:val="25"/>
        </w:rPr>
        <w:t>S</w:t>
      </w:r>
      <w:r w:rsidR="00723034">
        <w:rPr>
          <w:rFonts w:ascii="Arial" w:hAnsi="Arial" w:cs="Arial"/>
          <w:sz w:val="25"/>
          <w:szCs w:val="25"/>
        </w:rPr>
        <w:t xml:space="preserve">eguro de </w:t>
      </w:r>
      <w:r w:rsidR="00FF2F2E">
        <w:rPr>
          <w:rFonts w:ascii="Arial" w:hAnsi="Arial" w:cs="Arial"/>
          <w:sz w:val="25"/>
          <w:szCs w:val="25"/>
        </w:rPr>
        <w:t>D</w:t>
      </w:r>
      <w:r w:rsidR="00723034">
        <w:rPr>
          <w:rFonts w:ascii="Arial" w:hAnsi="Arial" w:cs="Arial"/>
          <w:sz w:val="25"/>
          <w:szCs w:val="25"/>
        </w:rPr>
        <w:t>epósito</w:t>
      </w:r>
      <w:r w:rsidR="00F90B2F">
        <w:rPr>
          <w:rFonts w:ascii="Arial" w:hAnsi="Arial" w:cs="Arial"/>
          <w:sz w:val="25"/>
          <w:szCs w:val="25"/>
        </w:rPr>
        <w:t xml:space="preserve">s. </w:t>
      </w:r>
    </w:p>
    <w:p w14:paraId="075A1B02" w14:textId="4FCFFBBC" w:rsidR="008802DD" w:rsidRDefault="008802DD" w:rsidP="008168E2">
      <w:pPr>
        <w:contextualSpacing/>
        <w:jc w:val="both"/>
        <w:rPr>
          <w:rFonts w:ascii="Arial" w:hAnsi="Arial" w:cs="Arial"/>
          <w:sz w:val="25"/>
          <w:szCs w:val="25"/>
        </w:rPr>
      </w:pPr>
    </w:p>
    <w:p w14:paraId="78F940BF" w14:textId="27A0E467" w:rsidR="00EF3F87" w:rsidRDefault="00EF3F87" w:rsidP="008168E2">
      <w:pPr>
        <w:contextualSpacing/>
        <w:jc w:val="both"/>
        <w:rPr>
          <w:rFonts w:ascii="Arial" w:hAnsi="Arial" w:cs="Arial"/>
          <w:sz w:val="25"/>
          <w:szCs w:val="25"/>
        </w:rPr>
      </w:pPr>
    </w:p>
    <w:p w14:paraId="62670ABF" w14:textId="77777777" w:rsidR="00A2780A" w:rsidRPr="008802DD" w:rsidRDefault="00A2780A" w:rsidP="008168E2">
      <w:pPr>
        <w:contextualSpacing/>
        <w:jc w:val="both"/>
        <w:rPr>
          <w:rFonts w:ascii="Arial" w:hAnsi="Arial" w:cs="Arial"/>
          <w:sz w:val="25"/>
          <w:szCs w:val="25"/>
        </w:rPr>
      </w:pPr>
    </w:p>
    <w:p w14:paraId="26CAD041" w14:textId="77777777" w:rsidR="008802DD" w:rsidRPr="008802DD" w:rsidRDefault="008802DD" w:rsidP="008168E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5"/>
          <w:szCs w:val="25"/>
        </w:rPr>
      </w:pPr>
      <w:r w:rsidRPr="008802DD">
        <w:rPr>
          <w:rFonts w:ascii="Arial" w:hAnsi="Arial" w:cs="Arial"/>
          <w:b/>
          <w:sz w:val="25"/>
          <w:szCs w:val="25"/>
        </w:rPr>
        <w:t xml:space="preserve">OBJETIVO </w:t>
      </w:r>
    </w:p>
    <w:p w14:paraId="4DA40DC0" w14:textId="77777777" w:rsidR="00E26D1F" w:rsidRDefault="00E26D1F" w:rsidP="008168E2">
      <w:pPr>
        <w:ind w:left="426"/>
        <w:contextualSpacing/>
        <w:jc w:val="both"/>
        <w:rPr>
          <w:rFonts w:ascii="Arial" w:hAnsi="Arial" w:cs="Arial"/>
          <w:sz w:val="25"/>
          <w:szCs w:val="25"/>
        </w:rPr>
      </w:pPr>
    </w:p>
    <w:p w14:paraId="29B06B2C" w14:textId="77455B7F" w:rsidR="008802DD" w:rsidRPr="008802DD" w:rsidRDefault="002868BF" w:rsidP="008168E2">
      <w:pPr>
        <w:contextualSpacing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Esta circular </w:t>
      </w:r>
      <w:r w:rsidR="00FF2152" w:rsidRPr="00C2237C">
        <w:rPr>
          <w:rFonts w:ascii="Arial" w:hAnsi="Arial" w:cs="Arial"/>
          <w:sz w:val="25"/>
          <w:szCs w:val="25"/>
        </w:rPr>
        <w:t xml:space="preserve">establece los lineamientos relacionados con </w:t>
      </w:r>
      <w:r w:rsidR="00FF2152">
        <w:rPr>
          <w:rFonts w:ascii="Arial" w:hAnsi="Arial" w:cs="Arial"/>
          <w:sz w:val="25"/>
          <w:szCs w:val="25"/>
        </w:rPr>
        <w:t xml:space="preserve">el procedimiento para realizar el cálculo y </w:t>
      </w:r>
      <w:r w:rsidR="00E32214">
        <w:rPr>
          <w:rFonts w:ascii="Arial" w:hAnsi="Arial" w:cs="Arial"/>
          <w:sz w:val="25"/>
          <w:szCs w:val="25"/>
        </w:rPr>
        <w:t>liquidación</w:t>
      </w:r>
      <w:r w:rsidR="00FF2152">
        <w:rPr>
          <w:rFonts w:ascii="Arial" w:hAnsi="Arial" w:cs="Arial"/>
          <w:sz w:val="25"/>
          <w:szCs w:val="25"/>
        </w:rPr>
        <w:t xml:space="preserve"> de la prima de</w:t>
      </w:r>
      <w:r w:rsidR="00247143">
        <w:rPr>
          <w:rFonts w:ascii="Arial" w:hAnsi="Arial" w:cs="Arial"/>
          <w:sz w:val="25"/>
          <w:szCs w:val="25"/>
        </w:rPr>
        <w:t>l</w:t>
      </w:r>
      <w:r w:rsidR="00FF2152">
        <w:rPr>
          <w:rFonts w:ascii="Arial" w:hAnsi="Arial" w:cs="Arial"/>
          <w:sz w:val="25"/>
          <w:szCs w:val="25"/>
        </w:rPr>
        <w:t xml:space="preserve"> Seguro de Depósitos de las </w:t>
      </w:r>
      <w:r w:rsidR="00617041">
        <w:rPr>
          <w:rFonts w:ascii="Arial" w:hAnsi="Arial" w:cs="Arial"/>
          <w:sz w:val="25"/>
          <w:szCs w:val="25"/>
        </w:rPr>
        <w:t>Sociedades Especializadas en Depósitos y Pagos Electrónicos (SEDPE)</w:t>
      </w:r>
      <w:r w:rsidR="00FF2152">
        <w:rPr>
          <w:rFonts w:ascii="Arial" w:hAnsi="Arial" w:cs="Arial"/>
          <w:sz w:val="25"/>
          <w:szCs w:val="25"/>
        </w:rPr>
        <w:t xml:space="preserve"> inscritas</w:t>
      </w:r>
      <w:r w:rsidR="007B69AD">
        <w:rPr>
          <w:rFonts w:ascii="Arial" w:hAnsi="Arial" w:cs="Arial"/>
          <w:sz w:val="25"/>
          <w:szCs w:val="25"/>
        </w:rPr>
        <w:t>.</w:t>
      </w:r>
      <w:r w:rsidR="008802DD" w:rsidRPr="008802DD">
        <w:rPr>
          <w:rFonts w:ascii="Arial" w:hAnsi="Arial" w:cs="Arial"/>
          <w:sz w:val="25"/>
          <w:szCs w:val="25"/>
        </w:rPr>
        <w:t xml:space="preserve"> </w:t>
      </w:r>
    </w:p>
    <w:p w14:paraId="71B214B3" w14:textId="77777777" w:rsidR="00A2780A" w:rsidRPr="008802DD" w:rsidRDefault="00A2780A" w:rsidP="008168E2">
      <w:pPr>
        <w:contextualSpacing/>
        <w:jc w:val="both"/>
        <w:rPr>
          <w:rFonts w:ascii="Arial" w:hAnsi="Arial" w:cs="Arial"/>
          <w:sz w:val="25"/>
          <w:szCs w:val="25"/>
        </w:rPr>
      </w:pPr>
    </w:p>
    <w:p w14:paraId="22912B52" w14:textId="04663A86" w:rsidR="008802DD" w:rsidRDefault="008802DD" w:rsidP="008168E2">
      <w:pPr>
        <w:numPr>
          <w:ilvl w:val="0"/>
          <w:numId w:val="2"/>
        </w:numPr>
        <w:contextualSpacing/>
        <w:rPr>
          <w:rFonts w:ascii="Arial" w:hAnsi="Arial" w:cs="Arial"/>
          <w:b/>
          <w:sz w:val="25"/>
          <w:szCs w:val="25"/>
          <w:lang w:val="es-CO" w:eastAsia="en-US"/>
        </w:rPr>
      </w:pPr>
      <w:r w:rsidRPr="008802DD">
        <w:rPr>
          <w:rFonts w:ascii="Arial" w:hAnsi="Arial" w:cs="Arial"/>
          <w:b/>
          <w:sz w:val="25"/>
          <w:szCs w:val="25"/>
          <w:lang w:val="es-CO" w:eastAsia="en-US"/>
        </w:rPr>
        <w:t>PRIMA A CARGO DE LAS ENTIDADES</w:t>
      </w:r>
    </w:p>
    <w:p w14:paraId="3637A0E9" w14:textId="77777777" w:rsidR="00524715" w:rsidRPr="008802DD" w:rsidRDefault="00524715" w:rsidP="008168E2">
      <w:pPr>
        <w:ind w:left="360"/>
        <w:contextualSpacing/>
        <w:rPr>
          <w:rFonts w:ascii="Arial" w:hAnsi="Arial" w:cs="Arial"/>
          <w:b/>
          <w:sz w:val="25"/>
          <w:szCs w:val="25"/>
          <w:lang w:val="es-CO" w:eastAsia="en-US"/>
        </w:rPr>
      </w:pPr>
    </w:p>
    <w:p w14:paraId="0F24E65C" w14:textId="77777777" w:rsidR="008802DD" w:rsidRPr="008802DD" w:rsidRDefault="008802DD" w:rsidP="008168E2">
      <w:pPr>
        <w:numPr>
          <w:ilvl w:val="1"/>
          <w:numId w:val="2"/>
        </w:numPr>
        <w:contextualSpacing/>
        <w:jc w:val="both"/>
        <w:rPr>
          <w:rFonts w:ascii="Arial" w:hAnsi="Arial" w:cs="Arial"/>
          <w:b/>
          <w:sz w:val="25"/>
          <w:szCs w:val="25"/>
          <w:lang w:val="es-CO" w:eastAsia="en-US"/>
        </w:rPr>
      </w:pPr>
      <w:r w:rsidRPr="008802DD">
        <w:rPr>
          <w:rFonts w:ascii="Arial" w:hAnsi="Arial" w:cs="Arial"/>
          <w:b/>
          <w:sz w:val="25"/>
          <w:szCs w:val="25"/>
          <w:lang w:val="es-CO" w:eastAsia="en-US"/>
        </w:rPr>
        <w:t>Cálculo de la prima con información completa para los tres meses incluidos en el trimestre de liquidación</w:t>
      </w:r>
    </w:p>
    <w:p w14:paraId="18B5C8AE" w14:textId="10E07CB4" w:rsidR="00F90B2F" w:rsidRDefault="00F90B2F" w:rsidP="008168E2">
      <w:pPr>
        <w:ind w:left="709"/>
        <w:contextualSpacing/>
        <w:jc w:val="both"/>
        <w:rPr>
          <w:rFonts w:ascii="Arial" w:hAnsi="Arial" w:cs="Arial"/>
          <w:sz w:val="25"/>
          <w:szCs w:val="25"/>
        </w:rPr>
      </w:pPr>
    </w:p>
    <w:p w14:paraId="0F1CAF6E" w14:textId="7415F931" w:rsidR="00F90B2F" w:rsidRDefault="00EF3F87" w:rsidP="008168E2">
      <w:pPr>
        <w:ind w:left="709"/>
        <w:contextualSpacing/>
        <w:jc w:val="both"/>
        <w:rPr>
          <w:rFonts w:ascii="Arial" w:hAnsi="Arial" w:cs="Arial"/>
          <w:sz w:val="25"/>
          <w:szCs w:val="25"/>
        </w:rPr>
      </w:pPr>
      <w:r w:rsidRPr="00EF3F87">
        <w:rPr>
          <w:rFonts w:ascii="Arial" w:hAnsi="Arial" w:cs="Arial"/>
          <w:sz w:val="25"/>
          <w:szCs w:val="25"/>
        </w:rPr>
        <w:t xml:space="preserve">La prima se calculará </w:t>
      </w:r>
      <w:r w:rsidRPr="00A63D2F">
        <w:rPr>
          <w:rFonts w:ascii="Arial" w:hAnsi="Arial" w:cs="Arial"/>
          <w:sz w:val="25"/>
          <w:szCs w:val="25"/>
        </w:rPr>
        <w:t xml:space="preserve">con base en </w:t>
      </w:r>
      <w:r w:rsidR="00F90B2F" w:rsidRPr="00A63D2F">
        <w:rPr>
          <w:rFonts w:ascii="Arial" w:hAnsi="Arial" w:cs="Arial"/>
          <w:sz w:val="25"/>
          <w:szCs w:val="25"/>
        </w:rPr>
        <w:t>el promedio simple de los depósitos de bajo monto</w:t>
      </w:r>
      <w:r w:rsidR="001873F9" w:rsidRPr="00A63D2F">
        <w:rPr>
          <w:rFonts w:ascii="Arial" w:hAnsi="Arial" w:cs="Arial"/>
          <w:sz w:val="25"/>
          <w:szCs w:val="25"/>
        </w:rPr>
        <w:t xml:space="preserve"> y depósitos ordinarios</w:t>
      </w:r>
      <w:r w:rsidR="00F90B2F" w:rsidRPr="00A63D2F">
        <w:rPr>
          <w:rFonts w:ascii="Arial" w:hAnsi="Arial" w:cs="Arial"/>
          <w:sz w:val="25"/>
          <w:szCs w:val="25"/>
        </w:rPr>
        <w:t xml:space="preserve"> reportado</w:t>
      </w:r>
      <w:r w:rsidR="007B69AD" w:rsidRPr="00A63D2F">
        <w:rPr>
          <w:rFonts w:ascii="Arial" w:hAnsi="Arial" w:cs="Arial"/>
          <w:sz w:val="25"/>
          <w:szCs w:val="25"/>
        </w:rPr>
        <w:t>s</w:t>
      </w:r>
      <w:r w:rsidR="00F90B2F" w:rsidRPr="00A63D2F">
        <w:rPr>
          <w:rFonts w:ascii="Arial" w:hAnsi="Arial" w:cs="Arial"/>
          <w:sz w:val="25"/>
          <w:szCs w:val="25"/>
        </w:rPr>
        <w:t xml:space="preserve"> </w:t>
      </w:r>
      <w:r w:rsidRPr="00A63D2F">
        <w:rPr>
          <w:rFonts w:ascii="Arial" w:hAnsi="Arial" w:cs="Arial"/>
          <w:sz w:val="25"/>
          <w:szCs w:val="25"/>
        </w:rPr>
        <w:t>durante el trimestre a liquidar</w:t>
      </w:r>
      <w:r w:rsidR="008A4796" w:rsidRPr="00A63D2F">
        <w:rPr>
          <w:rFonts w:ascii="Arial" w:hAnsi="Arial" w:cs="Arial"/>
          <w:sz w:val="25"/>
          <w:szCs w:val="25"/>
        </w:rPr>
        <w:t xml:space="preserve">. </w:t>
      </w:r>
      <w:r w:rsidR="00604F91" w:rsidRPr="00A63D2F">
        <w:rPr>
          <w:rFonts w:ascii="Arial" w:hAnsi="Arial" w:cs="Arial"/>
          <w:sz w:val="25"/>
          <w:szCs w:val="25"/>
        </w:rPr>
        <w:t>Para calcular el promedio se deberá tomar el saldo diario de</w:t>
      </w:r>
      <w:r w:rsidR="00500013" w:rsidRPr="00A63D2F">
        <w:rPr>
          <w:rFonts w:ascii="Arial" w:hAnsi="Arial" w:cs="Arial"/>
          <w:sz w:val="25"/>
          <w:szCs w:val="25"/>
        </w:rPr>
        <w:t xml:space="preserve"> </w:t>
      </w:r>
      <w:r w:rsidR="008A4796" w:rsidRPr="00A63D2F">
        <w:rPr>
          <w:rFonts w:ascii="Arial" w:hAnsi="Arial" w:cs="Arial"/>
          <w:sz w:val="25"/>
          <w:szCs w:val="25"/>
        </w:rPr>
        <w:t xml:space="preserve">los valores </w:t>
      </w:r>
      <w:r w:rsidR="00604F91" w:rsidRPr="00A63D2F">
        <w:rPr>
          <w:rFonts w:ascii="Arial" w:hAnsi="Arial" w:cs="Arial"/>
          <w:sz w:val="25"/>
          <w:szCs w:val="25"/>
        </w:rPr>
        <w:t xml:space="preserve">reportados en </w:t>
      </w:r>
      <w:r w:rsidR="008E2491" w:rsidRPr="00A63D2F">
        <w:rPr>
          <w:rFonts w:ascii="Arial" w:hAnsi="Arial" w:cs="Arial"/>
          <w:sz w:val="25"/>
          <w:szCs w:val="25"/>
        </w:rPr>
        <w:t xml:space="preserve">la Subcuenta 5, </w:t>
      </w:r>
      <w:r w:rsidR="008A4796" w:rsidRPr="00A63D2F">
        <w:rPr>
          <w:rFonts w:ascii="Arial" w:hAnsi="Arial" w:cs="Arial"/>
          <w:sz w:val="25"/>
          <w:szCs w:val="25"/>
        </w:rPr>
        <w:t>de</w:t>
      </w:r>
      <w:r w:rsidR="008E2491" w:rsidRPr="00A63D2F">
        <w:rPr>
          <w:rFonts w:ascii="Arial" w:hAnsi="Arial" w:cs="Arial"/>
          <w:sz w:val="25"/>
          <w:szCs w:val="25"/>
        </w:rPr>
        <w:t xml:space="preserve"> la unidad de captura 1, 2 </w:t>
      </w:r>
      <w:r w:rsidR="008A4796" w:rsidRPr="00A63D2F">
        <w:rPr>
          <w:rFonts w:ascii="Arial" w:hAnsi="Arial" w:cs="Arial"/>
          <w:sz w:val="25"/>
          <w:szCs w:val="25"/>
        </w:rPr>
        <w:t>y</w:t>
      </w:r>
      <w:r w:rsidR="008E2491" w:rsidRPr="00A63D2F">
        <w:rPr>
          <w:rFonts w:ascii="Arial" w:hAnsi="Arial" w:cs="Arial"/>
          <w:sz w:val="25"/>
          <w:szCs w:val="25"/>
        </w:rPr>
        <w:t xml:space="preserve"> 3, columnas 4, 6, 8, 10, 12, 14 y 16</w:t>
      </w:r>
      <w:r w:rsidRPr="00A63D2F">
        <w:rPr>
          <w:rFonts w:ascii="Arial" w:hAnsi="Arial" w:cs="Arial"/>
          <w:sz w:val="25"/>
          <w:szCs w:val="25"/>
        </w:rPr>
        <w:t xml:space="preserve"> del Formato</w:t>
      </w:r>
      <w:r>
        <w:rPr>
          <w:rFonts w:ascii="Arial" w:hAnsi="Arial" w:cs="Arial"/>
          <w:sz w:val="25"/>
          <w:szCs w:val="25"/>
        </w:rPr>
        <w:t xml:space="preserve"> 530 de la Superintendencia Financiera de Colombia</w:t>
      </w:r>
      <w:r w:rsidR="002D1364">
        <w:rPr>
          <w:rFonts w:ascii="Arial" w:hAnsi="Arial" w:cs="Arial"/>
          <w:sz w:val="25"/>
          <w:szCs w:val="25"/>
        </w:rPr>
        <w:t>.</w:t>
      </w:r>
    </w:p>
    <w:p w14:paraId="23221962" w14:textId="6E34836D" w:rsidR="002D1364" w:rsidRDefault="002D1364" w:rsidP="008168E2">
      <w:pPr>
        <w:ind w:left="709"/>
        <w:contextualSpacing/>
        <w:jc w:val="both"/>
        <w:rPr>
          <w:rFonts w:ascii="Arial" w:hAnsi="Arial" w:cs="Arial"/>
          <w:sz w:val="25"/>
          <w:szCs w:val="25"/>
        </w:rPr>
      </w:pPr>
    </w:p>
    <w:p w14:paraId="5745430C" w14:textId="41E3352B" w:rsidR="002D1364" w:rsidRDefault="002D1364" w:rsidP="002D1364">
      <w:pPr>
        <w:ind w:left="709"/>
        <w:jc w:val="both"/>
        <w:rPr>
          <w:rFonts w:ascii="Arial" w:hAnsi="Arial" w:cs="Arial"/>
          <w:sz w:val="25"/>
          <w:szCs w:val="25"/>
        </w:rPr>
      </w:pPr>
      <w:r w:rsidRPr="008802DD">
        <w:rPr>
          <w:rFonts w:ascii="Arial" w:hAnsi="Arial" w:cs="Arial"/>
          <w:sz w:val="25"/>
          <w:szCs w:val="25"/>
        </w:rPr>
        <w:t xml:space="preserve">Posteriormente </w:t>
      </w:r>
      <w:r w:rsidR="00617041">
        <w:rPr>
          <w:rFonts w:ascii="Arial" w:hAnsi="Arial" w:cs="Arial"/>
          <w:sz w:val="25"/>
          <w:szCs w:val="25"/>
        </w:rPr>
        <w:t xml:space="preserve">se </w:t>
      </w:r>
      <w:r w:rsidRPr="008802DD">
        <w:rPr>
          <w:rFonts w:ascii="Arial" w:hAnsi="Arial" w:cs="Arial"/>
          <w:sz w:val="25"/>
          <w:szCs w:val="25"/>
        </w:rPr>
        <w:t>deberá multiplicar el resultado por el porcentaje establecido en la Resolución vigente del Seguro de Depósitos.</w:t>
      </w:r>
    </w:p>
    <w:p w14:paraId="60530A68" w14:textId="77777777" w:rsidR="006037E5" w:rsidRPr="008802DD" w:rsidRDefault="006037E5" w:rsidP="008168E2">
      <w:pPr>
        <w:ind w:left="709"/>
        <w:contextualSpacing/>
        <w:jc w:val="both"/>
        <w:rPr>
          <w:rFonts w:ascii="Arial" w:hAnsi="Arial" w:cs="Arial"/>
          <w:sz w:val="25"/>
          <w:szCs w:val="25"/>
        </w:rPr>
      </w:pPr>
    </w:p>
    <w:p w14:paraId="6CC31776" w14:textId="77777777" w:rsidR="008802DD" w:rsidRPr="006037E5" w:rsidRDefault="008802DD" w:rsidP="008168E2">
      <w:pPr>
        <w:pStyle w:val="Prrafodelista"/>
        <w:numPr>
          <w:ilvl w:val="1"/>
          <w:numId w:val="2"/>
        </w:numPr>
        <w:spacing w:line="240" w:lineRule="auto"/>
        <w:rPr>
          <w:rFonts w:ascii="Arial" w:hAnsi="Arial" w:cs="Arial"/>
          <w:b/>
          <w:sz w:val="25"/>
          <w:szCs w:val="25"/>
        </w:rPr>
      </w:pPr>
      <w:r w:rsidRPr="006037E5">
        <w:rPr>
          <w:rFonts w:ascii="Arial" w:hAnsi="Arial" w:cs="Arial"/>
          <w:b/>
          <w:sz w:val="25"/>
          <w:szCs w:val="25"/>
        </w:rPr>
        <w:t>Entidades nuevas</w:t>
      </w:r>
    </w:p>
    <w:p w14:paraId="04184277" w14:textId="179FBED7" w:rsidR="00195BDA" w:rsidRDefault="00195BDA" w:rsidP="008168E2">
      <w:pPr>
        <w:ind w:left="709"/>
        <w:contextualSpacing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En </w:t>
      </w:r>
      <w:r w:rsidR="00A2780A">
        <w:rPr>
          <w:rFonts w:ascii="Arial" w:hAnsi="Arial" w:cs="Arial"/>
          <w:sz w:val="25"/>
          <w:szCs w:val="25"/>
        </w:rPr>
        <w:t xml:space="preserve">el </w:t>
      </w:r>
      <w:r>
        <w:rPr>
          <w:rFonts w:ascii="Arial" w:hAnsi="Arial" w:cs="Arial"/>
          <w:sz w:val="25"/>
          <w:szCs w:val="25"/>
        </w:rPr>
        <w:t>caso de las entidades nuevas, el c</w:t>
      </w:r>
      <w:r w:rsidR="00617041">
        <w:rPr>
          <w:rFonts w:ascii="Arial" w:hAnsi="Arial" w:cs="Arial"/>
          <w:sz w:val="25"/>
          <w:szCs w:val="25"/>
        </w:rPr>
        <w:t>á</w:t>
      </w:r>
      <w:r>
        <w:rPr>
          <w:rFonts w:ascii="Arial" w:hAnsi="Arial" w:cs="Arial"/>
          <w:sz w:val="25"/>
          <w:szCs w:val="25"/>
        </w:rPr>
        <w:t xml:space="preserve">lculo </w:t>
      </w:r>
      <w:r w:rsidR="00F76C0A">
        <w:rPr>
          <w:rFonts w:ascii="Arial" w:hAnsi="Arial" w:cs="Arial"/>
          <w:sz w:val="25"/>
          <w:szCs w:val="25"/>
        </w:rPr>
        <w:t>del promedio simple de las acreencias amparadas para el cálculo de la prima del</w:t>
      </w:r>
      <w:r>
        <w:rPr>
          <w:rFonts w:ascii="Arial" w:hAnsi="Arial" w:cs="Arial"/>
          <w:sz w:val="25"/>
          <w:szCs w:val="25"/>
        </w:rPr>
        <w:t xml:space="preserve"> Seguro de </w:t>
      </w:r>
      <w:r w:rsidR="00AE0134">
        <w:rPr>
          <w:rFonts w:ascii="Arial" w:hAnsi="Arial" w:cs="Arial"/>
          <w:sz w:val="25"/>
          <w:szCs w:val="25"/>
        </w:rPr>
        <w:t>Depósitos</w:t>
      </w:r>
      <w:r w:rsidR="00A41E07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se realizará con la información de los formatos </w:t>
      </w:r>
      <w:r w:rsidR="00F76C0A">
        <w:rPr>
          <w:rFonts w:ascii="Arial" w:hAnsi="Arial" w:cs="Arial"/>
          <w:sz w:val="25"/>
          <w:szCs w:val="25"/>
        </w:rPr>
        <w:t>transmitidos durante</w:t>
      </w:r>
      <w:r>
        <w:rPr>
          <w:rFonts w:ascii="Arial" w:hAnsi="Arial" w:cs="Arial"/>
          <w:sz w:val="25"/>
          <w:szCs w:val="25"/>
        </w:rPr>
        <w:t xml:space="preserve"> el trimestre de pago</w:t>
      </w:r>
      <w:r w:rsidR="00F21B1F">
        <w:rPr>
          <w:rFonts w:ascii="Arial" w:hAnsi="Arial" w:cs="Arial"/>
          <w:sz w:val="25"/>
          <w:szCs w:val="25"/>
        </w:rPr>
        <w:t xml:space="preserve">. </w:t>
      </w:r>
    </w:p>
    <w:p w14:paraId="19150930" w14:textId="57D0FBCE" w:rsidR="008802DD" w:rsidRDefault="008802DD" w:rsidP="008168E2">
      <w:pPr>
        <w:contextualSpacing/>
        <w:jc w:val="both"/>
        <w:rPr>
          <w:rFonts w:ascii="Arial" w:hAnsi="Arial" w:cs="Arial"/>
          <w:sz w:val="25"/>
          <w:szCs w:val="25"/>
        </w:rPr>
      </w:pPr>
    </w:p>
    <w:p w14:paraId="0758F384" w14:textId="76C73145" w:rsidR="00A2780A" w:rsidRDefault="00A2780A" w:rsidP="008168E2">
      <w:pPr>
        <w:contextualSpacing/>
        <w:jc w:val="both"/>
        <w:rPr>
          <w:rFonts w:ascii="Arial" w:hAnsi="Arial" w:cs="Arial"/>
          <w:sz w:val="25"/>
          <w:szCs w:val="25"/>
        </w:rPr>
      </w:pPr>
    </w:p>
    <w:p w14:paraId="570E3B85" w14:textId="77777777" w:rsidR="008802DD" w:rsidRPr="008802DD" w:rsidRDefault="008802DD" w:rsidP="008168E2">
      <w:pPr>
        <w:numPr>
          <w:ilvl w:val="1"/>
          <w:numId w:val="2"/>
        </w:numPr>
        <w:contextualSpacing/>
        <w:jc w:val="both"/>
        <w:rPr>
          <w:rFonts w:ascii="Arial" w:hAnsi="Arial" w:cs="Arial"/>
          <w:b/>
          <w:sz w:val="25"/>
          <w:szCs w:val="25"/>
          <w:lang w:val="es-CO" w:eastAsia="en-US"/>
        </w:rPr>
      </w:pPr>
      <w:r w:rsidRPr="008802DD">
        <w:rPr>
          <w:rFonts w:ascii="Arial" w:hAnsi="Arial" w:cs="Arial"/>
          <w:b/>
          <w:sz w:val="25"/>
          <w:szCs w:val="25"/>
          <w:lang w:val="es-CO" w:eastAsia="en-US"/>
        </w:rPr>
        <w:t>Entidades que terminen su existencia legal durante el trimestre a liquidar</w:t>
      </w:r>
    </w:p>
    <w:p w14:paraId="580E4949" w14:textId="77777777" w:rsidR="006037E5" w:rsidRDefault="006037E5" w:rsidP="008168E2">
      <w:pPr>
        <w:ind w:left="709"/>
        <w:contextualSpacing/>
        <w:jc w:val="both"/>
        <w:rPr>
          <w:rFonts w:ascii="Arial" w:hAnsi="Arial" w:cs="Arial"/>
          <w:sz w:val="25"/>
          <w:szCs w:val="25"/>
        </w:rPr>
      </w:pPr>
    </w:p>
    <w:p w14:paraId="371E6BE8" w14:textId="03A23CE7" w:rsidR="008802DD" w:rsidRPr="00A2780A" w:rsidRDefault="00983FD2" w:rsidP="00A2780A">
      <w:pPr>
        <w:pStyle w:val="Prrafodelista"/>
        <w:jc w:val="both"/>
        <w:rPr>
          <w:rFonts w:ascii="Arial" w:hAnsi="Arial" w:cs="Arial"/>
          <w:sz w:val="25"/>
          <w:szCs w:val="25"/>
        </w:rPr>
      </w:pPr>
      <w:r w:rsidRPr="00A2780A">
        <w:rPr>
          <w:rFonts w:ascii="Arial" w:hAnsi="Arial" w:cs="Arial"/>
          <w:sz w:val="25"/>
          <w:szCs w:val="25"/>
        </w:rPr>
        <w:t>En caso de que</w:t>
      </w:r>
      <w:r w:rsidR="008802DD" w:rsidRPr="00A2780A">
        <w:rPr>
          <w:rFonts w:ascii="Arial" w:hAnsi="Arial" w:cs="Arial"/>
          <w:sz w:val="25"/>
          <w:szCs w:val="25"/>
        </w:rPr>
        <w:t xml:space="preserve"> una entidad deje de transmitir balances</w:t>
      </w:r>
      <w:r w:rsidR="000E7CB0" w:rsidRPr="00A2780A">
        <w:rPr>
          <w:rFonts w:ascii="Arial" w:hAnsi="Arial" w:cs="Arial"/>
          <w:sz w:val="25"/>
          <w:szCs w:val="25"/>
        </w:rPr>
        <w:t xml:space="preserve"> y formatos</w:t>
      </w:r>
      <w:r w:rsidR="008802DD" w:rsidRPr="00A2780A">
        <w:rPr>
          <w:rFonts w:ascii="Arial" w:hAnsi="Arial" w:cs="Arial"/>
          <w:sz w:val="25"/>
          <w:szCs w:val="25"/>
        </w:rPr>
        <w:t xml:space="preserve"> a la Superintendencia Financiera de Colombia</w:t>
      </w:r>
      <w:r w:rsidR="00AE0134">
        <w:rPr>
          <w:rFonts w:ascii="Arial" w:hAnsi="Arial" w:cs="Arial"/>
          <w:sz w:val="25"/>
          <w:szCs w:val="25"/>
        </w:rPr>
        <w:t>,</w:t>
      </w:r>
      <w:r w:rsidR="008802DD" w:rsidRPr="00A2780A">
        <w:rPr>
          <w:rFonts w:ascii="Arial" w:hAnsi="Arial" w:cs="Arial"/>
          <w:sz w:val="25"/>
          <w:szCs w:val="25"/>
        </w:rPr>
        <w:t xml:space="preserve"> en virtud de la terminación de su existencia legal, la prima a su cargo se liquidará de la siguiente manera:</w:t>
      </w:r>
    </w:p>
    <w:p w14:paraId="392C05A7" w14:textId="77777777" w:rsidR="008802DD" w:rsidRPr="008802DD" w:rsidRDefault="008802DD" w:rsidP="008168E2">
      <w:pPr>
        <w:pStyle w:val="Prrafodelista"/>
        <w:spacing w:after="0" w:line="240" w:lineRule="auto"/>
        <w:ind w:left="709"/>
        <w:jc w:val="both"/>
        <w:rPr>
          <w:rFonts w:ascii="Arial" w:hAnsi="Arial" w:cs="Arial"/>
          <w:sz w:val="25"/>
          <w:szCs w:val="25"/>
        </w:rPr>
      </w:pPr>
    </w:p>
    <w:p w14:paraId="68E1A464" w14:textId="3FFBBAAA" w:rsidR="008802DD" w:rsidRPr="008802DD" w:rsidRDefault="00B02DFD" w:rsidP="00B20BA2">
      <w:pPr>
        <w:pStyle w:val="Prrafodelista"/>
        <w:spacing w:after="0" w:line="240" w:lineRule="auto"/>
        <w:ind w:left="709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L</w:t>
      </w:r>
      <w:r w:rsidR="008802DD" w:rsidRPr="008802DD">
        <w:rPr>
          <w:rFonts w:ascii="Arial" w:hAnsi="Arial" w:cs="Arial"/>
          <w:sz w:val="25"/>
          <w:szCs w:val="25"/>
        </w:rPr>
        <w:t xml:space="preserve">a entidad deberá </w:t>
      </w:r>
      <w:r w:rsidR="00D06418">
        <w:rPr>
          <w:rFonts w:ascii="Arial" w:hAnsi="Arial" w:cs="Arial"/>
          <w:sz w:val="25"/>
          <w:szCs w:val="25"/>
        </w:rPr>
        <w:t xml:space="preserve">calcular </w:t>
      </w:r>
      <w:r>
        <w:rPr>
          <w:rFonts w:ascii="Arial" w:hAnsi="Arial" w:cs="Arial"/>
          <w:sz w:val="25"/>
          <w:szCs w:val="25"/>
        </w:rPr>
        <w:t xml:space="preserve">el </w:t>
      </w:r>
      <w:r w:rsidRPr="008168E2">
        <w:rPr>
          <w:rFonts w:ascii="Arial" w:hAnsi="Arial" w:cs="Arial"/>
          <w:sz w:val="25"/>
          <w:szCs w:val="25"/>
        </w:rPr>
        <w:t xml:space="preserve">promedio diario del saldo de las acreencias amparadas con los formatos transmitidos a la </w:t>
      </w:r>
      <w:r w:rsidR="008802DD" w:rsidRPr="008168E2">
        <w:rPr>
          <w:rFonts w:ascii="Arial" w:hAnsi="Arial" w:cs="Arial"/>
          <w:sz w:val="25"/>
          <w:szCs w:val="25"/>
        </w:rPr>
        <w:t>Superintendencia Financiera de Colombia</w:t>
      </w:r>
      <w:r w:rsidRPr="008168E2">
        <w:rPr>
          <w:rFonts w:ascii="Arial" w:hAnsi="Arial" w:cs="Arial"/>
          <w:sz w:val="25"/>
          <w:szCs w:val="25"/>
        </w:rPr>
        <w:t xml:space="preserve"> </w:t>
      </w:r>
      <w:r w:rsidR="00256387" w:rsidRPr="008168E2">
        <w:rPr>
          <w:rFonts w:ascii="Arial" w:hAnsi="Arial" w:cs="Arial"/>
          <w:sz w:val="25"/>
          <w:szCs w:val="25"/>
        </w:rPr>
        <w:t>durante el trimestre</w:t>
      </w:r>
      <w:r w:rsidRPr="008168E2">
        <w:rPr>
          <w:rFonts w:ascii="Arial" w:hAnsi="Arial" w:cs="Arial"/>
          <w:sz w:val="25"/>
          <w:szCs w:val="25"/>
        </w:rPr>
        <w:t xml:space="preserve"> </w:t>
      </w:r>
      <w:r w:rsidR="00A2780A">
        <w:rPr>
          <w:rFonts w:ascii="Arial" w:hAnsi="Arial" w:cs="Arial"/>
          <w:sz w:val="25"/>
          <w:szCs w:val="25"/>
        </w:rPr>
        <w:t>objeto de pago</w:t>
      </w:r>
      <w:r w:rsidR="00247143">
        <w:rPr>
          <w:rFonts w:ascii="Arial" w:hAnsi="Arial" w:cs="Arial"/>
          <w:sz w:val="25"/>
          <w:szCs w:val="25"/>
        </w:rPr>
        <w:t>,</w:t>
      </w:r>
      <w:r w:rsidR="00A2780A">
        <w:rPr>
          <w:rFonts w:ascii="Arial" w:hAnsi="Arial" w:cs="Arial"/>
          <w:sz w:val="25"/>
          <w:szCs w:val="25"/>
        </w:rPr>
        <w:t xml:space="preserve"> </w:t>
      </w:r>
      <w:r w:rsidRPr="008168E2">
        <w:rPr>
          <w:rFonts w:ascii="Arial" w:hAnsi="Arial" w:cs="Arial"/>
          <w:sz w:val="25"/>
          <w:szCs w:val="25"/>
        </w:rPr>
        <w:t>y</w:t>
      </w:r>
      <w:r w:rsidR="00A2780A">
        <w:rPr>
          <w:rFonts w:ascii="Arial" w:hAnsi="Arial" w:cs="Arial"/>
          <w:sz w:val="25"/>
          <w:szCs w:val="25"/>
        </w:rPr>
        <w:t xml:space="preserve"> </w:t>
      </w:r>
      <w:r w:rsidR="008802DD" w:rsidRPr="008168E2">
        <w:rPr>
          <w:rFonts w:ascii="Arial" w:hAnsi="Arial" w:cs="Arial"/>
          <w:sz w:val="25"/>
          <w:szCs w:val="25"/>
        </w:rPr>
        <w:t>aplicar el porcentaje establecido en la Resolución vigente del Seguro de Depósitos de manera proporcional al tiempo en que la entidad se mantuvo en funcionamiento durante el trimestre</w:t>
      </w:r>
      <w:r w:rsidR="008802DD" w:rsidRPr="008802DD">
        <w:rPr>
          <w:rFonts w:ascii="Arial" w:hAnsi="Arial" w:cs="Arial"/>
          <w:sz w:val="25"/>
          <w:szCs w:val="25"/>
        </w:rPr>
        <w:t>.</w:t>
      </w:r>
    </w:p>
    <w:p w14:paraId="336C9088" w14:textId="77777777" w:rsidR="008802DD" w:rsidRPr="008168E2" w:rsidRDefault="008802DD" w:rsidP="008168E2">
      <w:pPr>
        <w:contextualSpacing/>
        <w:jc w:val="both"/>
        <w:rPr>
          <w:rFonts w:ascii="Arial" w:hAnsi="Arial" w:cs="Arial"/>
          <w:sz w:val="25"/>
          <w:szCs w:val="25"/>
          <w:lang w:val="es-CO"/>
        </w:rPr>
      </w:pPr>
    </w:p>
    <w:p w14:paraId="7DF1C5B7" w14:textId="28175E69" w:rsidR="00050CC6" w:rsidRPr="008A4796" w:rsidRDefault="00050CC6" w:rsidP="008168E2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sz w:val="25"/>
          <w:szCs w:val="25"/>
        </w:rPr>
      </w:pPr>
      <w:r w:rsidRPr="008A4796">
        <w:rPr>
          <w:rFonts w:ascii="Arial" w:hAnsi="Arial" w:cs="Arial"/>
          <w:b/>
          <w:sz w:val="25"/>
          <w:szCs w:val="25"/>
        </w:rPr>
        <w:t xml:space="preserve">CÁLCULO Y </w:t>
      </w:r>
      <w:r w:rsidR="009A7736" w:rsidRPr="008A4796">
        <w:rPr>
          <w:rFonts w:ascii="Arial" w:hAnsi="Arial" w:cs="Arial"/>
          <w:b/>
          <w:sz w:val="25"/>
          <w:szCs w:val="25"/>
        </w:rPr>
        <w:t>LIQUIDACIÓN</w:t>
      </w:r>
      <w:r w:rsidRPr="008A4796">
        <w:rPr>
          <w:rFonts w:ascii="Arial" w:hAnsi="Arial" w:cs="Arial"/>
          <w:b/>
          <w:sz w:val="25"/>
          <w:szCs w:val="25"/>
        </w:rPr>
        <w:t xml:space="preserve"> DE LA PRIMA A CARGO DE LAS ENTIDADES</w:t>
      </w:r>
    </w:p>
    <w:p w14:paraId="0EFF430C" w14:textId="32B45E73" w:rsidR="00381F55" w:rsidRPr="008802DD" w:rsidRDefault="00853B5D" w:rsidP="008168E2">
      <w:pPr>
        <w:numPr>
          <w:ilvl w:val="1"/>
          <w:numId w:val="2"/>
        </w:numPr>
        <w:contextualSpacing/>
        <w:jc w:val="both"/>
        <w:rPr>
          <w:rFonts w:ascii="Arial" w:hAnsi="Arial" w:cs="Arial"/>
          <w:b/>
          <w:sz w:val="25"/>
          <w:szCs w:val="25"/>
          <w:lang w:val="es-CO" w:eastAsia="en-US"/>
        </w:rPr>
      </w:pPr>
      <w:r>
        <w:rPr>
          <w:rFonts w:ascii="Arial" w:hAnsi="Arial" w:cs="Arial"/>
          <w:b/>
          <w:sz w:val="25"/>
          <w:szCs w:val="25"/>
          <w:lang w:val="es-CO" w:eastAsia="en-US"/>
        </w:rPr>
        <w:t xml:space="preserve"> </w:t>
      </w:r>
      <w:r w:rsidR="00381F55" w:rsidRPr="008802DD">
        <w:rPr>
          <w:rFonts w:ascii="Arial" w:hAnsi="Arial" w:cs="Arial"/>
          <w:b/>
          <w:sz w:val="25"/>
          <w:szCs w:val="25"/>
          <w:lang w:val="es-CO" w:eastAsia="en-US"/>
        </w:rPr>
        <w:t xml:space="preserve">Cálculo de la prima </w:t>
      </w:r>
      <w:r w:rsidR="00381F55">
        <w:rPr>
          <w:rFonts w:ascii="Arial" w:hAnsi="Arial" w:cs="Arial"/>
          <w:b/>
          <w:sz w:val="25"/>
          <w:szCs w:val="25"/>
          <w:lang w:val="es-CO" w:eastAsia="en-US"/>
        </w:rPr>
        <w:t>de las entidades</w:t>
      </w:r>
    </w:p>
    <w:p w14:paraId="71BBD329" w14:textId="77777777" w:rsidR="00381F55" w:rsidRPr="008802DD" w:rsidRDefault="00381F55" w:rsidP="008168E2">
      <w:pPr>
        <w:ind w:left="792"/>
        <w:contextualSpacing/>
        <w:rPr>
          <w:rFonts w:ascii="Arial" w:hAnsi="Arial" w:cs="Arial"/>
          <w:b/>
          <w:sz w:val="25"/>
          <w:szCs w:val="25"/>
          <w:lang w:val="es-CO" w:eastAsia="en-US"/>
        </w:rPr>
      </w:pPr>
    </w:p>
    <w:p w14:paraId="736C87F9" w14:textId="07ACCBA4" w:rsidR="007A3FE5" w:rsidRDefault="00381F55" w:rsidP="008168E2">
      <w:pPr>
        <w:pStyle w:val="Prrafodelista"/>
        <w:spacing w:line="240" w:lineRule="auto"/>
        <w:ind w:left="36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El aplicativo de C</w:t>
      </w:r>
      <w:r w:rsidR="007D2CA9">
        <w:rPr>
          <w:rFonts w:ascii="Arial" w:hAnsi="Arial" w:cs="Arial"/>
          <w:sz w:val="25"/>
          <w:szCs w:val="25"/>
        </w:rPr>
        <w:t xml:space="preserve">álculo </w:t>
      </w:r>
      <w:r>
        <w:rPr>
          <w:rFonts w:ascii="Arial" w:hAnsi="Arial" w:cs="Arial"/>
          <w:sz w:val="25"/>
          <w:szCs w:val="25"/>
        </w:rPr>
        <w:t xml:space="preserve">y </w:t>
      </w:r>
      <w:r w:rsidR="00366858">
        <w:rPr>
          <w:rFonts w:ascii="Arial" w:hAnsi="Arial" w:cs="Arial"/>
          <w:sz w:val="25"/>
          <w:szCs w:val="25"/>
        </w:rPr>
        <w:t>Liquidación</w:t>
      </w:r>
      <w:r>
        <w:rPr>
          <w:rFonts w:ascii="Arial" w:hAnsi="Arial" w:cs="Arial"/>
          <w:sz w:val="25"/>
          <w:szCs w:val="25"/>
        </w:rPr>
        <w:t xml:space="preserve"> de la prima de</w:t>
      </w:r>
      <w:r w:rsidR="00247143">
        <w:rPr>
          <w:rFonts w:ascii="Arial" w:hAnsi="Arial" w:cs="Arial"/>
          <w:sz w:val="25"/>
          <w:szCs w:val="25"/>
        </w:rPr>
        <w:t>l</w:t>
      </w:r>
      <w:r>
        <w:rPr>
          <w:rFonts w:ascii="Arial" w:hAnsi="Arial" w:cs="Arial"/>
          <w:sz w:val="25"/>
          <w:szCs w:val="25"/>
        </w:rPr>
        <w:t xml:space="preserve"> </w:t>
      </w:r>
      <w:r w:rsidR="00A2427B">
        <w:rPr>
          <w:rFonts w:ascii="Arial" w:hAnsi="Arial" w:cs="Arial"/>
          <w:sz w:val="25"/>
          <w:szCs w:val="25"/>
        </w:rPr>
        <w:t>S</w:t>
      </w:r>
      <w:r>
        <w:rPr>
          <w:rFonts w:ascii="Arial" w:hAnsi="Arial" w:cs="Arial"/>
          <w:sz w:val="25"/>
          <w:szCs w:val="25"/>
        </w:rPr>
        <w:t xml:space="preserve">eguro de </w:t>
      </w:r>
      <w:r w:rsidR="00A2427B">
        <w:rPr>
          <w:rFonts w:ascii="Arial" w:hAnsi="Arial" w:cs="Arial"/>
          <w:sz w:val="25"/>
          <w:szCs w:val="25"/>
        </w:rPr>
        <w:t>D</w:t>
      </w:r>
      <w:r>
        <w:rPr>
          <w:rFonts w:ascii="Arial" w:hAnsi="Arial" w:cs="Arial"/>
          <w:sz w:val="25"/>
          <w:szCs w:val="25"/>
        </w:rPr>
        <w:t xml:space="preserve">epósitos </w:t>
      </w:r>
      <w:r w:rsidR="00A2427B">
        <w:rPr>
          <w:rFonts w:ascii="Arial" w:hAnsi="Arial" w:cs="Arial"/>
          <w:sz w:val="25"/>
          <w:szCs w:val="25"/>
        </w:rPr>
        <w:t xml:space="preserve">es la herramienta dispuesta </w:t>
      </w:r>
      <w:r w:rsidR="007D2CA9">
        <w:rPr>
          <w:rFonts w:ascii="Arial" w:hAnsi="Arial" w:cs="Arial"/>
          <w:sz w:val="25"/>
          <w:szCs w:val="25"/>
        </w:rPr>
        <w:t xml:space="preserve">por el Fondo </w:t>
      </w:r>
      <w:r w:rsidR="00A2427B">
        <w:rPr>
          <w:rFonts w:ascii="Arial" w:hAnsi="Arial" w:cs="Arial"/>
          <w:sz w:val="25"/>
          <w:szCs w:val="25"/>
        </w:rPr>
        <w:t xml:space="preserve">para que las entidades inscritas realicen el cálculo y validación </w:t>
      </w:r>
      <w:r w:rsidR="003D6EA9">
        <w:rPr>
          <w:rFonts w:ascii="Arial" w:hAnsi="Arial" w:cs="Arial"/>
          <w:sz w:val="25"/>
          <w:szCs w:val="25"/>
        </w:rPr>
        <w:t xml:space="preserve">de la prima a </w:t>
      </w:r>
      <w:r w:rsidR="0038092E">
        <w:rPr>
          <w:rFonts w:ascii="Arial" w:hAnsi="Arial" w:cs="Arial"/>
          <w:sz w:val="25"/>
          <w:szCs w:val="25"/>
        </w:rPr>
        <w:t>su cargo</w:t>
      </w:r>
      <w:r w:rsidR="00477F2E">
        <w:rPr>
          <w:rFonts w:ascii="Arial" w:hAnsi="Arial" w:cs="Arial"/>
          <w:sz w:val="25"/>
          <w:szCs w:val="25"/>
        </w:rPr>
        <w:t>.</w:t>
      </w:r>
    </w:p>
    <w:p w14:paraId="42AE9832" w14:textId="527415DA" w:rsidR="00A2427B" w:rsidRDefault="00A2427B" w:rsidP="008168E2">
      <w:pPr>
        <w:pStyle w:val="Prrafodelista"/>
        <w:spacing w:line="240" w:lineRule="auto"/>
        <w:ind w:left="360"/>
        <w:jc w:val="both"/>
        <w:rPr>
          <w:rFonts w:ascii="Arial" w:hAnsi="Arial" w:cs="Arial"/>
          <w:sz w:val="25"/>
          <w:szCs w:val="25"/>
        </w:rPr>
      </w:pPr>
    </w:p>
    <w:p w14:paraId="4EE55001" w14:textId="15B95BF2" w:rsidR="00702A34" w:rsidRDefault="002434FA" w:rsidP="008168E2">
      <w:pPr>
        <w:pStyle w:val="Prrafodelista"/>
        <w:spacing w:line="240" w:lineRule="auto"/>
        <w:ind w:left="36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Se puede acceder al aplicativo a través del siguiente enlace </w:t>
      </w:r>
      <w:hyperlink r:id="rId12" w:history="1">
        <w:r w:rsidRPr="00000F21">
          <w:rPr>
            <w:rStyle w:val="Hipervnculo"/>
            <w:rFonts w:ascii="Arial" w:hAnsi="Arial" w:cs="Arial"/>
            <w:sz w:val="25"/>
            <w:szCs w:val="25"/>
          </w:rPr>
          <w:t>https://scnpsd.fogafin.gov.co</w:t>
        </w:r>
      </w:hyperlink>
      <w:r>
        <w:rPr>
          <w:rFonts w:ascii="Arial" w:hAnsi="Arial" w:cs="Arial"/>
          <w:sz w:val="25"/>
          <w:szCs w:val="25"/>
        </w:rPr>
        <w:t xml:space="preserve">. </w:t>
      </w:r>
      <w:r w:rsidR="00E73789">
        <w:rPr>
          <w:rFonts w:ascii="Arial" w:hAnsi="Arial" w:cs="Arial"/>
          <w:sz w:val="25"/>
          <w:szCs w:val="25"/>
        </w:rPr>
        <w:t xml:space="preserve">La aplicación, cuenta con un manual de usuario, preguntas </w:t>
      </w:r>
      <w:r w:rsidR="006D0A40">
        <w:rPr>
          <w:rFonts w:ascii="Arial" w:hAnsi="Arial" w:cs="Arial"/>
          <w:sz w:val="25"/>
          <w:szCs w:val="25"/>
        </w:rPr>
        <w:t xml:space="preserve">frecuentes </w:t>
      </w:r>
      <w:r w:rsidR="00E73789">
        <w:rPr>
          <w:rFonts w:ascii="Arial" w:hAnsi="Arial" w:cs="Arial"/>
          <w:sz w:val="25"/>
          <w:szCs w:val="25"/>
        </w:rPr>
        <w:t xml:space="preserve">y </w:t>
      </w:r>
      <w:r w:rsidR="00702A34">
        <w:rPr>
          <w:rFonts w:ascii="Arial" w:hAnsi="Arial" w:cs="Arial"/>
          <w:sz w:val="25"/>
          <w:szCs w:val="25"/>
        </w:rPr>
        <w:t xml:space="preserve">datos de contacto. </w:t>
      </w:r>
    </w:p>
    <w:p w14:paraId="1331F1B5" w14:textId="7E1277C1" w:rsidR="00F0405F" w:rsidRDefault="00F0405F" w:rsidP="008168E2">
      <w:pPr>
        <w:pStyle w:val="Prrafodelista"/>
        <w:spacing w:line="240" w:lineRule="auto"/>
        <w:ind w:left="360"/>
        <w:jc w:val="both"/>
        <w:rPr>
          <w:rFonts w:ascii="Arial" w:hAnsi="Arial" w:cs="Arial"/>
          <w:sz w:val="25"/>
          <w:szCs w:val="25"/>
        </w:rPr>
      </w:pPr>
    </w:p>
    <w:p w14:paraId="25892080" w14:textId="6AB89EFC" w:rsidR="00F0405F" w:rsidRPr="008168E2" w:rsidRDefault="008168E2" w:rsidP="008168E2">
      <w:pPr>
        <w:pStyle w:val="Prrafodelista"/>
        <w:spacing w:line="240" w:lineRule="auto"/>
        <w:ind w:left="360"/>
        <w:jc w:val="both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>3</w:t>
      </w:r>
      <w:r w:rsidR="00F0405F" w:rsidRPr="008168E2">
        <w:rPr>
          <w:rFonts w:ascii="Arial" w:hAnsi="Arial" w:cs="Arial"/>
          <w:b/>
          <w:bCs/>
          <w:sz w:val="25"/>
          <w:szCs w:val="25"/>
        </w:rPr>
        <w:t>.1.1 Creación de usuarios</w:t>
      </w:r>
    </w:p>
    <w:p w14:paraId="178216AA" w14:textId="7D88EF14" w:rsidR="00F0405F" w:rsidRDefault="00F0405F" w:rsidP="008168E2">
      <w:pPr>
        <w:pStyle w:val="Prrafodelista"/>
        <w:spacing w:line="240" w:lineRule="auto"/>
        <w:ind w:left="360"/>
        <w:jc w:val="both"/>
        <w:rPr>
          <w:rFonts w:ascii="Arial" w:hAnsi="Arial" w:cs="Arial"/>
          <w:sz w:val="25"/>
          <w:szCs w:val="25"/>
        </w:rPr>
      </w:pPr>
    </w:p>
    <w:p w14:paraId="3A037AA2" w14:textId="787415BF" w:rsidR="00F0405F" w:rsidRDefault="005A4E50" w:rsidP="008168E2">
      <w:pPr>
        <w:pStyle w:val="Prrafodelista"/>
        <w:spacing w:line="240" w:lineRule="auto"/>
        <w:ind w:left="360"/>
        <w:jc w:val="both"/>
        <w:rPr>
          <w:rFonts w:ascii="Arial" w:hAnsi="Arial" w:cs="Arial"/>
          <w:sz w:val="25"/>
          <w:szCs w:val="25"/>
        </w:rPr>
      </w:pPr>
      <w:r w:rsidRPr="008168E2">
        <w:rPr>
          <w:rFonts w:ascii="Arial" w:hAnsi="Arial" w:cs="Arial"/>
          <w:sz w:val="25"/>
          <w:szCs w:val="25"/>
        </w:rPr>
        <w:t xml:space="preserve">Para el ingreso y uso del servicio, se requerirá que la SEDPE cuente </w:t>
      </w:r>
      <w:r w:rsidR="00D06418">
        <w:rPr>
          <w:rFonts w:ascii="Arial" w:hAnsi="Arial" w:cs="Arial"/>
          <w:sz w:val="25"/>
          <w:szCs w:val="25"/>
        </w:rPr>
        <w:t>al menos</w:t>
      </w:r>
      <w:r w:rsidR="00247143">
        <w:rPr>
          <w:rFonts w:ascii="Arial" w:hAnsi="Arial" w:cs="Arial"/>
          <w:sz w:val="25"/>
          <w:szCs w:val="25"/>
        </w:rPr>
        <w:t xml:space="preserve"> </w:t>
      </w:r>
      <w:r w:rsidRPr="008168E2">
        <w:rPr>
          <w:rFonts w:ascii="Arial" w:hAnsi="Arial" w:cs="Arial"/>
          <w:sz w:val="25"/>
          <w:szCs w:val="25"/>
        </w:rPr>
        <w:t xml:space="preserve">con un usuario registrado en la herramienta tecnológica, para lo cual deberá diligenciar y remitir a la dirección de correo electrónico </w:t>
      </w:r>
      <w:hyperlink r:id="rId13" w:history="1">
        <w:r w:rsidR="006D0A40" w:rsidRPr="00CF74AA">
          <w:rPr>
            <w:rStyle w:val="Hipervnculo"/>
            <w:rFonts w:ascii="Arial" w:hAnsi="Arial" w:cs="Arial"/>
            <w:sz w:val="25"/>
            <w:szCs w:val="25"/>
          </w:rPr>
          <w:t>recaudos@fogafin.gov.co</w:t>
        </w:r>
      </w:hyperlink>
      <w:r w:rsidR="006D0A40">
        <w:rPr>
          <w:rFonts w:ascii="Arial" w:hAnsi="Arial" w:cs="Arial"/>
          <w:sz w:val="25"/>
          <w:szCs w:val="25"/>
        </w:rPr>
        <w:t xml:space="preserve"> </w:t>
      </w:r>
      <w:r w:rsidRPr="008168E2">
        <w:rPr>
          <w:rFonts w:ascii="Arial" w:hAnsi="Arial" w:cs="Arial"/>
          <w:sz w:val="25"/>
          <w:szCs w:val="25"/>
        </w:rPr>
        <w:t xml:space="preserve"> el “Formato de </w:t>
      </w:r>
      <w:r w:rsidR="00756B73">
        <w:rPr>
          <w:rFonts w:ascii="Arial" w:hAnsi="Arial" w:cs="Arial"/>
          <w:sz w:val="25"/>
          <w:szCs w:val="25"/>
        </w:rPr>
        <w:t>creación de usuarios</w:t>
      </w:r>
      <w:r w:rsidRPr="008168E2">
        <w:rPr>
          <w:rFonts w:ascii="Arial" w:hAnsi="Arial" w:cs="Arial"/>
          <w:sz w:val="25"/>
          <w:szCs w:val="25"/>
        </w:rPr>
        <w:t xml:space="preserve">”. Este archivo deberá ser remitido en formato PDF/A, </w:t>
      </w:r>
      <w:r w:rsidR="009416BF">
        <w:rPr>
          <w:rFonts w:ascii="Arial" w:hAnsi="Arial" w:cs="Arial"/>
          <w:sz w:val="25"/>
          <w:szCs w:val="25"/>
        </w:rPr>
        <w:t xml:space="preserve">y </w:t>
      </w:r>
      <w:r w:rsidRPr="008168E2">
        <w:rPr>
          <w:rFonts w:ascii="Arial" w:hAnsi="Arial" w:cs="Arial"/>
          <w:sz w:val="25"/>
          <w:szCs w:val="25"/>
        </w:rPr>
        <w:t xml:space="preserve">deberá </w:t>
      </w:r>
      <w:r w:rsidR="00905D98">
        <w:rPr>
          <w:rFonts w:ascii="Arial" w:hAnsi="Arial" w:cs="Arial"/>
          <w:sz w:val="25"/>
          <w:szCs w:val="25"/>
        </w:rPr>
        <w:t xml:space="preserve">estar firmado digitalmente. </w:t>
      </w:r>
      <w:r w:rsidR="00905D98" w:rsidRPr="000A28B8">
        <w:rPr>
          <w:rFonts w:ascii="Arial" w:hAnsi="Arial" w:cs="Arial"/>
          <w:sz w:val="25"/>
          <w:szCs w:val="25"/>
        </w:rPr>
        <w:t xml:space="preserve">El certificado deberá estar asignado a la </w:t>
      </w:r>
      <w:r w:rsidR="00A63D2F">
        <w:rPr>
          <w:rFonts w:ascii="Arial" w:hAnsi="Arial" w:cs="Arial"/>
          <w:sz w:val="25"/>
          <w:szCs w:val="25"/>
        </w:rPr>
        <w:t xml:space="preserve">SEDPE </w:t>
      </w:r>
      <w:r w:rsidR="00A63D2F" w:rsidRPr="000A28B8">
        <w:rPr>
          <w:rFonts w:ascii="Arial" w:hAnsi="Arial" w:cs="Arial"/>
          <w:sz w:val="25"/>
          <w:szCs w:val="25"/>
        </w:rPr>
        <w:t>inscrita</w:t>
      </w:r>
      <w:r w:rsidR="00905D98">
        <w:rPr>
          <w:rFonts w:ascii="Arial" w:hAnsi="Arial" w:cs="Arial"/>
          <w:sz w:val="25"/>
          <w:szCs w:val="25"/>
        </w:rPr>
        <w:t xml:space="preserve"> </w:t>
      </w:r>
      <w:r w:rsidR="00905D98" w:rsidRPr="000A28B8">
        <w:rPr>
          <w:rFonts w:ascii="Arial" w:hAnsi="Arial" w:cs="Arial"/>
          <w:sz w:val="25"/>
          <w:szCs w:val="25"/>
        </w:rPr>
        <w:t>y/o a su Representante Legal</w:t>
      </w:r>
      <w:r w:rsidR="006E6466">
        <w:rPr>
          <w:rFonts w:ascii="Arial" w:hAnsi="Arial" w:cs="Arial"/>
          <w:sz w:val="25"/>
          <w:szCs w:val="25"/>
        </w:rPr>
        <w:t>.</w:t>
      </w:r>
    </w:p>
    <w:p w14:paraId="52F145B2" w14:textId="77777777" w:rsidR="00905D98" w:rsidRDefault="00905D98" w:rsidP="008168E2">
      <w:pPr>
        <w:pStyle w:val="Prrafodelista"/>
        <w:spacing w:line="240" w:lineRule="auto"/>
        <w:ind w:left="360"/>
        <w:jc w:val="both"/>
        <w:rPr>
          <w:rFonts w:ascii="Arial" w:hAnsi="Arial" w:cs="Arial"/>
          <w:sz w:val="25"/>
          <w:szCs w:val="25"/>
        </w:rPr>
      </w:pPr>
    </w:p>
    <w:p w14:paraId="650EF5B1" w14:textId="49A923BA" w:rsidR="00853B5D" w:rsidRPr="008A4796" w:rsidRDefault="008168E2" w:rsidP="008168E2">
      <w:pPr>
        <w:pStyle w:val="Prrafodelista"/>
        <w:spacing w:line="240" w:lineRule="auto"/>
        <w:ind w:left="360"/>
        <w:jc w:val="both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>3</w:t>
      </w:r>
      <w:r w:rsidR="00853B5D" w:rsidRPr="008A4796">
        <w:rPr>
          <w:rFonts w:ascii="Arial" w:hAnsi="Arial" w:cs="Arial"/>
          <w:b/>
          <w:bCs/>
          <w:sz w:val="25"/>
          <w:szCs w:val="25"/>
        </w:rPr>
        <w:t>.</w:t>
      </w:r>
      <w:r>
        <w:rPr>
          <w:rFonts w:ascii="Arial" w:hAnsi="Arial" w:cs="Arial"/>
          <w:b/>
          <w:bCs/>
          <w:sz w:val="25"/>
          <w:szCs w:val="25"/>
        </w:rPr>
        <w:t>1.</w:t>
      </w:r>
      <w:r w:rsidR="00853B5D" w:rsidRPr="008A4796">
        <w:rPr>
          <w:rFonts w:ascii="Arial" w:hAnsi="Arial" w:cs="Arial"/>
          <w:b/>
          <w:bCs/>
          <w:sz w:val="25"/>
          <w:szCs w:val="25"/>
        </w:rPr>
        <w:t>2 Fecha de</w:t>
      </w:r>
      <w:r w:rsidR="006E6466">
        <w:rPr>
          <w:rFonts w:ascii="Arial" w:hAnsi="Arial" w:cs="Arial"/>
          <w:b/>
          <w:bCs/>
          <w:sz w:val="25"/>
          <w:szCs w:val="25"/>
        </w:rPr>
        <w:t>l</w:t>
      </w:r>
      <w:r w:rsidR="00853B5D" w:rsidRPr="008A4796">
        <w:rPr>
          <w:rFonts w:ascii="Arial" w:hAnsi="Arial" w:cs="Arial"/>
          <w:b/>
          <w:bCs/>
          <w:sz w:val="25"/>
          <w:szCs w:val="25"/>
        </w:rPr>
        <w:t xml:space="preserve"> proceso de cálculo de la prima de</w:t>
      </w:r>
      <w:r w:rsidR="00247143">
        <w:rPr>
          <w:rFonts w:ascii="Arial" w:hAnsi="Arial" w:cs="Arial"/>
          <w:b/>
          <w:bCs/>
          <w:sz w:val="25"/>
          <w:szCs w:val="25"/>
        </w:rPr>
        <w:t>l</w:t>
      </w:r>
      <w:r w:rsidR="00853B5D" w:rsidRPr="008A4796">
        <w:rPr>
          <w:rFonts w:ascii="Arial" w:hAnsi="Arial" w:cs="Arial"/>
          <w:b/>
          <w:bCs/>
          <w:sz w:val="25"/>
          <w:szCs w:val="25"/>
        </w:rPr>
        <w:t xml:space="preserve"> Seguro de Depósitos</w:t>
      </w:r>
    </w:p>
    <w:p w14:paraId="38181725" w14:textId="77777777" w:rsidR="00853B5D" w:rsidRDefault="00853B5D" w:rsidP="008168E2">
      <w:pPr>
        <w:pStyle w:val="Prrafodelista"/>
        <w:spacing w:line="240" w:lineRule="auto"/>
        <w:ind w:left="360"/>
        <w:jc w:val="both"/>
        <w:rPr>
          <w:rFonts w:ascii="Arial" w:hAnsi="Arial" w:cs="Arial"/>
          <w:sz w:val="25"/>
          <w:szCs w:val="25"/>
        </w:rPr>
      </w:pPr>
    </w:p>
    <w:p w14:paraId="40828A52" w14:textId="24FADA99" w:rsidR="00CD163C" w:rsidRDefault="00521F75" w:rsidP="008168E2">
      <w:pPr>
        <w:pStyle w:val="Prrafodelista"/>
        <w:spacing w:line="240" w:lineRule="auto"/>
        <w:ind w:left="36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La herramienta estará disponible </w:t>
      </w:r>
      <w:r w:rsidR="00905D98">
        <w:rPr>
          <w:rFonts w:ascii="Arial" w:hAnsi="Arial" w:cs="Arial"/>
          <w:sz w:val="25"/>
          <w:szCs w:val="25"/>
        </w:rPr>
        <w:t>aproximadamente</w:t>
      </w:r>
      <w:r>
        <w:rPr>
          <w:rFonts w:ascii="Arial" w:hAnsi="Arial" w:cs="Arial"/>
          <w:sz w:val="25"/>
          <w:szCs w:val="25"/>
        </w:rPr>
        <w:t xml:space="preserve"> </w:t>
      </w:r>
      <w:r w:rsidR="009144BA">
        <w:rPr>
          <w:rFonts w:ascii="Arial" w:hAnsi="Arial" w:cs="Arial"/>
          <w:sz w:val="25"/>
          <w:szCs w:val="25"/>
        </w:rPr>
        <w:t xml:space="preserve">durante </w:t>
      </w:r>
      <w:r>
        <w:rPr>
          <w:rFonts w:ascii="Arial" w:hAnsi="Arial" w:cs="Arial"/>
          <w:sz w:val="25"/>
          <w:szCs w:val="25"/>
        </w:rPr>
        <w:t xml:space="preserve">dos semanas </w:t>
      </w:r>
      <w:r w:rsidR="009144BA">
        <w:rPr>
          <w:rFonts w:ascii="Arial" w:hAnsi="Arial" w:cs="Arial"/>
          <w:sz w:val="25"/>
          <w:szCs w:val="25"/>
        </w:rPr>
        <w:t xml:space="preserve">en </w:t>
      </w:r>
      <w:r>
        <w:rPr>
          <w:rFonts w:ascii="Arial" w:hAnsi="Arial" w:cs="Arial"/>
          <w:sz w:val="25"/>
          <w:szCs w:val="25"/>
        </w:rPr>
        <w:t>el mes de cobro del trimestre definido en l</w:t>
      </w:r>
      <w:r w:rsidR="008F1853">
        <w:rPr>
          <w:rFonts w:ascii="Arial" w:hAnsi="Arial" w:cs="Arial"/>
          <w:sz w:val="25"/>
          <w:szCs w:val="25"/>
        </w:rPr>
        <w:t>a Resolución</w:t>
      </w:r>
      <w:r w:rsidR="009144BA">
        <w:rPr>
          <w:rFonts w:ascii="Arial" w:hAnsi="Arial" w:cs="Arial"/>
          <w:sz w:val="25"/>
          <w:szCs w:val="25"/>
        </w:rPr>
        <w:t xml:space="preserve"> vigente del Seguro de Depósitos.</w:t>
      </w:r>
    </w:p>
    <w:p w14:paraId="2ABF2453" w14:textId="77777777" w:rsidR="00CD163C" w:rsidRDefault="00CD163C" w:rsidP="008168E2">
      <w:pPr>
        <w:pStyle w:val="Prrafodelista"/>
        <w:spacing w:line="240" w:lineRule="auto"/>
        <w:ind w:left="360"/>
        <w:jc w:val="both"/>
        <w:rPr>
          <w:rFonts w:ascii="Arial" w:hAnsi="Arial" w:cs="Arial"/>
          <w:sz w:val="25"/>
          <w:szCs w:val="25"/>
        </w:rPr>
      </w:pPr>
    </w:p>
    <w:p w14:paraId="35455462" w14:textId="77777777" w:rsidR="00247143" w:rsidRDefault="00247143" w:rsidP="008168E2">
      <w:pPr>
        <w:pStyle w:val="Prrafodelista"/>
        <w:spacing w:line="240" w:lineRule="auto"/>
        <w:ind w:left="360"/>
        <w:jc w:val="both"/>
        <w:rPr>
          <w:rFonts w:ascii="Arial" w:hAnsi="Arial" w:cs="Arial"/>
          <w:sz w:val="25"/>
          <w:szCs w:val="25"/>
        </w:rPr>
      </w:pPr>
    </w:p>
    <w:p w14:paraId="74B4D86D" w14:textId="77777777" w:rsidR="00247143" w:rsidRDefault="00247143" w:rsidP="008168E2">
      <w:pPr>
        <w:pStyle w:val="Prrafodelista"/>
        <w:spacing w:line="240" w:lineRule="auto"/>
        <w:ind w:left="360"/>
        <w:jc w:val="both"/>
        <w:rPr>
          <w:rFonts w:ascii="Arial" w:hAnsi="Arial" w:cs="Arial"/>
          <w:sz w:val="25"/>
          <w:szCs w:val="25"/>
        </w:rPr>
      </w:pPr>
    </w:p>
    <w:p w14:paraId="673E8F02" w14:textId="77777777" w:rsidR="00983FD2" w:rsidRDefault="00983FD2" w:rsidP="008168E2">
      <w:pPr>
        <w:pStyle w:val="Prrafodelista"/>
        <w:spacing w:line="240" w:lineRule="auto"/>
        <w:ind w:left="360"/>
        <w:jc w:val="both"/>
        <w:rPr>
          <w:rFonts w:ascii="Arial" w:hAnsi="Arial" w:cs="Arial"/>
          <w:sz w:val="25"/>
          <w:szCs w:val="25"/>
        </w:rPr>
      </w:pPr>
    </w:p>
    <w:p w14:paraId="5CBD5A7D" w14:textId="020725B7" w:rsidR="00752778" w:rsidRDefault="008F1853" w:rsidP="008168E2">
      <w:pPr>
        <w:pStyle w:val="Prrafodelista"/>
        <w:spacing w:line="240" w:lineRule="auto"/>
        <w:ind w:left="36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La fecha desde la cual las entidades pueden ingresar al aplicativo para realizar el proceso </w:t>
      </w:r>
      <w:r w:rsidR="009144BA">
        <w:rPr>
          <w:rFonts w:ascii="Arial" w:hAnsi="Arial" w:cs="Arial"/>
          <w:sz w:val="25"/>
          <w:szCs w:val="25"/>
        </w:rPr>
        <w:t>correspondiente</w:t>
      </w:r>
      <w:r>
        <w:rPr>
          <w:rFonts w:ascii="Arial" w:hAnsi="Arial" w:cs="Arial"/>
          <w:sz w:val="25"/>
          <w:szCs w:val="25"/>
        </w:rPr>
        <w:t xml:space="preserve"> será informada a través de correo electrónico a los usuarios inscritos</w:t>
      </w:r>
      <w:r w:rsidR="00A008CD">
        <w:rPr>
          <w:rFonts w:ascii="Arial" w:hAnsi="Arial" w:cs="Arial"/>
          <w:sz w:val="25"/>
          <w:szCs w:val="25"/>
        </w:rPr>
        <w:t xml:space="preserve"> y activos</w:t>
      </w:r>
      <w:r w:rsidR="00BE00FE">
        <w:rPr>
          <w:rFonts w:ascii="Arial" w:hAnsi="Arial" w:cs="Arial"/>
          <w:sz w:val="25"/>
          <w:szCs w:val="25"/>
        </w:rPr>
        <w:t>. La página estará disponible hasta el último día hábil del mes de pago de la prima de</w:t>
      </w:r>
      <w:r w:rsidR="00247143">
        <w:rPr>
          <w:rFonts w:ascii="Arial" w:hAnsi="Arial" w:cs="Arial"/>
          <w:sz w:val="25"/>
          <w:szCs w:val="25"/>
        </w:rPr>
        <w:t>l</w:t>
      </w:r>
      <w:r w:rsidR="00BE00FE">
        <w:rPr>
          <w:rFonts w:ascii="Arial" w:hAnsi="Arial" w:cs="Arial"/>
          <w:sz w:val="25"/>
          <w:szCs w:val="25"/>
        </w:rPr>
        <w:t xml:space="preserve"> Seguro de Depósitos.</w:t>
      </w:r>
      <w:r w:rsidR="00BE00FE" w:rsidDel="00BE00FE">
        <w:rPr>
          <w:rFonts w:ascii="Arial" w:hAnsi="Arial" w:cs="Arial"/>
          <w:sz w:val="25"/>
          <w:szCs w:val="25"/>
        </w:rPr>
        <w:t xml:space="preserve"> </w:t>
      </w:r>
    </w:p>
    <w:p w14:paraId="6B298D1F" w14:textId="77777777" w:rsidR="00752778" w:rsidRDefault="00752778" w:rsidP="008168E2">
      <w:pPr>
        <w:pStyle w:val="Prrafodelista"/>
        <w:spacing w:line="240" w:lineRule="auto"/>
        <w:ind w:left="360"/>
        <w:jc w:val="both"/>
        <w:rPr>
          <w:rFonts w:ascii="Arial" w:hAnsi="Arial" w:cs="Arial"/>
          <w:sz w:val="25"/>
          <w:szCs w:val="25"/>
        </w:rPr>
      </w:pPr>
    </w:p>
    <w:p w14:paraId="256D98FA" w14:textId="31EE1AD3" w:rsidR="00752778" w:rsidRPr="008A4796" w:rsidRDefault="008168E2" w:rsidP="008168E2">
      <w:pPr>
        <w:pStyle w:val="Prrafodelista"/>
        <w:spacing w:line="240" w:lineRule="auto"/>
        <w:ind w:left="360"/>
        <w:jc w:val="both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>3</w:t>
      </w:r>
      <w:r w:rsidR="00752778" w:rsidRPr="008A4796">
        <w:rPr>
          <w:rFonts w:ascii="Arial" w:hAnsi="Arial" w:cs="Arial"/>
          <w:b/>
          <w:bCs/>
          <w:sz w:val="25"/>
          <w:szCs w:val="25"/>
        </w:rPr>
        <w:t>.</w:t>
      </w:r>
      <w:r>
        <w:rPr>
          <w:rFonts w:ascii="Arial" w:hAnsi="Arial" w:cs="Arial"/>
          <w:b/>
          <w:bCs/>
          <w:sz w:val="25"/>
          <w:szCs w:val="25"/>
        </w:rPr>
        <w:t>1.3</w:t>
      </w:r>
      <w:r w:rsidR="00752778" w:rsidRPr="008A4796">
        <w:rPr>
          <w:rFonts w:ascii="Arial" w:hAnsi="Arial" w:cs="Arial"/>
          <w:b/>
          <w:bCs/>
          <w:sz w:val="25"/>
          <w:szCs w:val="25"/>
        </w:rPr>
        <w:t xml:space="preserve"> Proceso </w:t>
      </w:r>
      <w:r w:rsidR="000A28B8">
        <w:rPr>
          <w:rFonts w:ascii="Arial" w:hAnsi="Arial" w:cs="Arial"/>
          <w:b/>
          <w:bCs/>
          <w:sz w:val="25"/>
          <w:szCs w:val="25"/>
        </w:rPr>
        <w:t xml:space="preserve">de liquidación </w:t>
      </w:r>
      <w:r w:rsidR="00752778" w:rsidRPr="000A28B8">
        <w:rPr>
          <w:rFonts w:ascii="Arial" w:hAnsi="Arial" w:cs="Arial"/>
          <w:b/>
          <w:bCs/>
          <w:sz w:val="25"/>
          <w:szCs w:val="25"/>
        </w:rPr>
        <w:t>de la prima de</w:t>
      </w:r>
      <w:r w:rsidR="00247143">
        <w:rPr>
          <w:rFonts w:ascii="Arial" w:hAnsi="Arial" w:cs="Arial"/>
          <w:b/>
          <w:bCs/>
          <w:sz w:val="25"/>
          <w:szCs w:val="25"/>
        </w:rPr>
        <w:t>l</w:t>
      </w:r>
      <w:r w:rsidR="00752778" w:rsidRPr="000A28B8">
        <w:rPr>
          <w:rFonts w:ascii="Arial" w:hAnsi="Arial" w:cs="Arial"/>
          <w:b/>
          <w:bCs/>
          <w:sz w:val="25"/>
          <w:szCs w:val="25"/>
        </w:rPr>
        <w:t xml:space="preserve"> Seguro de Depósitos</w:t>
      </w:r>
    </w:p>
    <w:p w14:paraId="27A8B78B" w14:textId="77777777" w:rsidR="00752778" w:rsidRDefault="00752778" w:rsidP="008168E2">
      <w:pPr>
        <w:pStyle w:val="Prrafodelista"/>
        <w:spacing w:line="240" w:lineRule="auto"/>
        <w:ind w:left="360"/>
        <w:jc w:val="both"/>
        <w:rPr>
          <w:rFonts w:ascii="Arial" w:hAnsi="Arial" w:cs="Arial"/>
          <w:sz w:val="25"/>
          <w:szCs w:val="25"/>
        </w:rPr>
      </w:pPr>
    </w:p>
    <w:p w14:paraId="39A643B3" w14:textId="6A053A86" w:rsidR="00521F75" w:rsidRDefault="00752778" w:rsidP="00B20BA2">
      <w:pPr>
        <w:pStyle w:val="Prrafodelista"/>
        <w:spacing w:line="240" w:lineRule="auto"/>
        <w:ind w:left="36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Las entidades inscritas deben enviar la liquidación de la prima de</w:t>
      </w:r>
      <w:r w:rsidR="00DE266C">
        <w:rPr>
          <w:rFonts w:ascii="Arial" w:hAnsi="Arial" w:cs="Arial"/>
          <w:sz w:val="25"/>
          <w:szCs w:val="25"/>
        </w:rPr>
        <w:t>l</w:t>
      </w:r>
      <w:r>
        <w:rPr>
          <w:rFonts w:ascii="Arial" w:hAnsi="Arial" w:cs="Arial"/>
          <w:sz w:val="25"/>
          <w:szCs w:val="25"/>
        </w:rPr>
        <w:t xml:space="preserve"> Seguro de Depósitos al Fondo</w:t>
      </w:r>
      <w:r w:rsidR="00762DE2">
        <w:rPr>
          <w:rFonts w:ascii="Arial" w:hAnsi="Arial" w:cs="Arial"/>
          <w:sz w:val="25"/>
          <w:szCs w:val="25"/>
        </w:rPr>
        <w:t xml:space="preserve"> a través del aplicativo</w:t>
      </w:r>
      <w:r w:rsidR="009144BA">
        <w:rPr>
          <w:rFonts w:ascii="Arial" w:hAnsi="Arial" w:cs="Arial"/>
          <w:sz w:val="25"/>
          <w:szCs w:val="25"/>
        </w:rPr>
        <w:t xml:space="preserve"> </w:t>
      </w:r>
      <w:r w:rsidR="009144BA" w:rsidRPr="009144BA">
        <w:rPr>
          <w:rFonts w:ascii="Arial" w:hAnsi="Arial" w:cs="Arial"/>
          <w:sz w:val="25"/>
          <w:szCs w:val="25"/>
        </w:rPr>
        <w:t>de Cálculo y Liquidación de la prima de</w:t>
      </w:r>
      <w:r w:rsidR="00247143">
        <w:rPr>
          <w:rFonts w:ascii="Arial" w:hAnsi="Arial" w:cs="Arial"/>
          <w:sz w:val="25"/>
          <w:szCs w:val="25"/>
        </w:rPr>
        <w:t>l</w:t>
      </w:r>
      <w:r w:rsidR="009144BA" w:rsidRPr="009144BA">
        <w:rPr>
          <w:rFonts w:ascii="Arial" w:hAnsi="Arial" w:cs="Arial"/>
          <w:sz w:val="25"/>
          <w:szCs w:val="25"/>
        </w:rPr>
        <w:t xml:space="preserve"> Seguro de Depósitos</w:t>
      </w:r>
      <w:r>
        <w:rPr>
          <w:rFonts w:ascii="Arial" w:hAnsi="Arial" w:cs="Arial"/>
          <w:sz w:val="25"/>
          <w:szCs w:val="25"/>
        </w:rPr>
        <w:t>. La comunicación envi</w:t>
      </w:r>
      <w:r w:rsidR="00AB3B47">
        <w:rPr>
          <w:rFonts w:ascii="Arial" w:hAnsi="Arial" w:cs="Arial"/>
          <w:sz w:val="25"/>
          <w:szCs w:val="25"/>
        </w:rPr>
        <w:t>a</w:t>
      </w:r>
      <w:r>
        <w:rPr>
          <w:rFonts w:ascii="Arial" w:hAnsi="Arial" w:cs="Arial"/>
          <w:sz w:val="25"/>
          <w:szCs w:val="25"/>
        </w:rPr>
        <w:t xml:space="preserve">da </w:t>
      </w:r>
      <w:r w:rsidR="00916651">
        <w:rPr>
          <w:rFonts w:ascii="Arial" w:hAnsi="Arial" w:cs="Arial"/>
          <w:sz w:val="25"/>
          <w:szCs w:val="25"/>
        </w:rPr>
        <w:t xml:space="preserve">a Fogafín </w:t>
      </w:r>
      <w:r>
        <w:rPr>
          <w:rFonts w:ascii="Arial" w:hAnsi="Arial" w:cs="Arial"/>
          <w:sz w:val="25"/>
          <w:szCs w:val="25"/>
        </w:rPr>
        <w:t>debe corresponder al</w:t>
      </w:r>
      <w:r w:rsidR="008F1853">
        <w:rPr>
          <w:rFonts w:ascii="Arial" w:hAnsi="Arial" w:cs="Arial"/>
          <w:sz w:val="25"/>
          <w:szCs w:val="25"/>
        </w:rPr>
        <w:t xml:space="preserve"> </w:t>
      </w:r>
      <w:r w:rsidR="005E5F13">
        <w:rPr>
          <w:rFonts w:ascii="Arial" w:hAnsi="Arial" w:cs="Arial"/>
          <w:sz w:val="25"/>
          <w:szCs w:val="25"/>
        </w:rPr>
        <w:t>documento</w:t>
      </w:r>
      <w:r w:rsidR="00916651">
        <w:rPr>
          <w:rFonts w:ascii="Arial" w:hAnsi="Arial" w:cs="Arial"/>
          <w:sz w:val="25"/>
          <w:szCs w:val="25"/>
        </w:rPr>
        <w:t xml:space="preserve"> </w:t>
      </w:r>
      <w:r w:rsidR="00A6083F">
        <w:rPr>
          <w:rFonts w:ascii="Arial" w:hAnsi="Arial" w:cs="Arial"/>
          <w:sz w:val="25"/>
          <w:szCs w:val="25"/>
        </w:rPr>
        <w:t xml:space="preserve">en formato </w:t>
      </w:r>
      <w:r w:rsidR="00C947F9">
        <w:rPr>
          <w:rFonts w:ascii="Arial" w:hAnsi="Arial" w:cs="Arial"/>
          <w:sz w:val="25"/>
          <w:szCs w:val="25"/>
        </w:rPr>
        <w:t xml:space="preserve">PDF </w:t>
      </w:r>
      <w:r w:rsidR="005E5F13">
        <w:rPr>
          <w:rFonts w:ascii="Arial" w:hAnsi="Arial" w:cs="Arial"/>
          <w:sz w:val="25"/>
          <w:szCs w:val="25"/>
        </w:rPr>
        <w:t xml:space="preserve">descargado del aplicativo. </w:t>
      </w:r>
    </w:p>
    <w:p w14:paraId="4FA9CCE8" w14:textId="636B32F3" w:rsidR="009144BA" w:rsidRPr="000A28B8" w:rsidRDefault="009144BA" w:rsidP="00B20BA2">
      <w:pPr>
        <w:ind w:left="360"/>
        <w:contextualSpacing/>
        <w:jc w:val="both"/>
        <w:rPr>
          <w:rFonts w:ascii="Arial" w:hAnsi="Arial" w:cs="Arial"/>
          <w:sz w:val="25"/>
          <w:szCs w:val="25"/>
          <w:lang w:val="es-CO" w:eastAsia="en-US"/>
        </w:rPr>
      </w:pPr>
      <w:r w:rsidRPr="000A28B8">
        <w:rPr>
          <w:rFonts w:ascii="Arial" w:hAnsi="Arial" w:cs="Arial"/>
          <w:sz w:val="25"/>
          <w:szCs w:val="25"/>
          <w:lang w:val="es-CO" w:eastAsia="en-US"/>
        </w:rPr>
        <w:t xml:space="preserve">La </w:t>
      </w:r>
      <w:r w:rsidR="005E5F13" w:rsidRPr="000A28B8">
        <w:rPr>
          <w:rFonts w:ascii="Arial" w:hAnsi="Arial" w:cs="Arial"/>
          <w:sz w:val="25"/>
          <w:szCs w:val="25"/>
          <w:lang w:val="es-CO" w:eastAsia="en-US"/>
        </w:rPr>
        <w:t>comunicación</w:t>
      </w:r>
      <w:r w:rsidRPr="000A28B8">
        <w:rPr>
          <w:rFonts w:ascii="Arial" w:hAnsi="Arial" w:cs="Arial"/>
          <w:sz w:val="25"/>
          <w:szCs w:val="25"/>
          <w:lang w:val="es-CO" w:eastAsia="en-US"/>
        </w:rPr>
        <w:t xml:space="preserve"> con el cálculo </w:t>
      </w:r>
      <w:r w:rsidR="00040681" w:rsidRPr="000A28B8">
        <w:rPr>
          <w:rFonts w:ascii="Arial" w:hAnsi="Arial" w:cs="Arial"/>
          <w:sz w:val="25"/>
          <w:szCs w:val="25"/>
          <w:lang w:val="es-CO" w:eastAsia="en-US"/>
        </w:rPr>
        <w:t>correspondiente</w:t>
      </w:r>
      <w:r w:rsidRPr="000A28B8">
        <w:rPr>
          <w:rFonts w:ascii="Arial" w:hAnsi="Arial" w:cs="Arial"/>
          <w:sz w:val="25"/>
          <w:szCs w:val="25"/>
          <w:lang w:val="es-CO" w:eastAsia="en-US"/>
        </w:rPr>
        <w:t xml:space="preserve"> </w:t>
      </w:r>
      <w:r w:rsidR="00040681" w:rsidRPr="000A28B8">
        <w:rPr>
          <w:rFonts w:ascii="Arial" w:hAnsi="Arial" w:cs="Arial"/>
          <w:sz w:val="25"/>
          <w:szCs w:val="25"/>
          <w:lang w:val="es-CO" w:eastAsia="en-US"/>
        </w:rPr>
        <w:t>deberá ser firmad</w:t>
      </w:r>
      <w:r w:rsidR="00A1552A" w:rsidRPr="000A28B8">
        <w:rPr>
          <w:rFonts w:ascii="Arial" w:hAnsi="Arial" w:cs="Arial"/>
          <w:sz w:val="25"/>
          <w:szCs w:val="25"/>
          <w:lang w:val="es-CO" w:eastAsia="en-US"/>
        </w:rPr>
        <w:t>a</w:t>
      </w:r>
      <w:r w:rsidR="00040681" w:rsidRPr="000A28B8">
        <w:rPr>
          <w:rFonts w:ascii="Arial" w:hAnsi="Arial" w:cs="Arial"/>
          <w:sz w:val="25"/>
          <w:szCs w:val="25"/>
          <w:lang w:val="es-CO" w:eastAsia="en-US"/>
        </w:rPr>
        <w:t xml:space="preserve"> digitalmente. El certificado deberá estar asignado a la </w:t>
      </w:r>
      <w:r w:rsidR="00A63D2F">
        <w:rPr>
          <w:rFonts w:ascii="Arial" w:hAnsi="Arial" w:cs="Arial"/>
          <w:sz w:val="25"/>
          <w:szCs w:val="25"/>
          <w:lang w:val="es-CO" w:eastAsia="en-US"/>
        </w:rPr>
        <w:t xml:space="preserve">SEDPE </w:t>
      </w:r>
      <w:r w:rsidR="00A63D2F" w:rsidRPr="000A28B8">
        <w:rPr>
          <w:rFonts w:ascii="Arial" w:hAnsi="Arial" w:cs="Arial"/>
          <w:sz w:val="25"/>
          <w:szCs w:val="25"/>
          <w:lang w:val="es-CO" w:eastAsia="en-US"/>
        </w:rPr>
        <w:t>inscrita</w:t>
      </w:r>
      <w:r w:rsidR="00905D98">
        <w:rPr>
          <w:rFonts w:ascii="Arial" w:hAnsi="Arial" w:cs="Arial"/>
          <w:sz w:val="25"/>
          <w:szCs w:val="25"/>
          <w:lang w:val="es-CO" w:eastAsia="en-US"/>
        </w:rPr>
        <w:t xml:space="preserve"> </w:t>
      </w:r>
      <w:r w:rsidR="00040681" w:rsidRPr="000A28B8">
        <w:rPr>
          <w:rFonts w:ascii="Arial" w:hAnsi="Arial" w:cs="Arial"/>
          <w:sz w:val="25"/>
          <w:szCs w:val="25"/>
          <w:lang w:val="es-CO" w:eastAsia="en-US"/>
        </w:rPr>
        <w:t xml:space="preserve">y/o a su Representante Legal. Las características del certificado digital, requerido para la firma </w:t>
      </w:r>
      <w:r w:rsidR="00905D98">
        <w:rPr>
          <w:rFonts w:ascii="Arial" w:hAnsi="Arial" w:cs="Arial"/>
          <w:sz w:val="25"/>
          <w:szCs w:val="25"/>
          <w:lang w:val="es-CO" w:eastAsia="en-US"/>
        </w:rPr>
        <w:t>de la comunicación</w:t>
      </w:r>
      <w:r w:rsidR="00040681" w:rsidRPr="000A28B8">
        <w:rPr>
          <w:rFonts w:ascii="Arial" w:hAnsi="Arial" w:cs="Arial"/>
          <w:sz w:val="25"/>
          <w:szCs w:val="25"/>
          <w:lang w:val="es-CO" w:eastAsia="en-US"/>
        </w:rPr>
        <w:t xml:space="preserve">, son las mismas del certificado utilizado para la firma de los archivos trasmitidos por parte de las entidades financieras a la Superintendencia Financiera de Colombia, de preferencia utilizando el certificado de firma </w:t>
      </w:r>
      <w:r w:rsidR="00F823E5" w:rsidRPr="000A28B8">
        <w:rPr>
          <w:rFonts w:ascii="Arial" w:hAnsi="Arial" w:cs="Arial"/>
          <w:sz w:val="25"/>
          <w:szCs w:val="25"/>
          <w:lang w:val="es-CO" w:eastAsia="en-US"/>
        </w:rPr>
        <w:t>digital PADES</w:t>
      </w:r>
      <w:r w:rsidR="00905D98">
        <w:rPr>
          <w:rStyle w:val="Refdenotaalpie"/>
          <w:rFonts w:ascii="Arial" w:hAnsi="Arial"/>
          <w:sz w:val="25"/>
          <w:szCs w:val="25"/>
          <w:lang w:val="es-CO" w:eastAsia="en-US"/>
        </w:rPr>
        <w:footnoteReference w:id="1"/>
      </w:r>
      <w:r w:rsidR="00040681" w:rsidRPr="000A28B8">
        <w:rPr>
          <w:rFonts w:ascii="Arial" w:hAnsi="Arial" w:cs="Arial"/>
          <w:sz w:val="25"/>
          <w:szCs w:val="25"/>
          <w:lang w:val="es-CO" w:eastAsia="en-US"/>
        </w:rPr>
        <w:t xml:space="preserve"> </w:t>
      </w:r>
      <w:r w:rsidR="00252699" w:rsidRPr="000A28B8">
        <w:rPr>
          <w:rFonts w:ascii="Arial" w:hAnsi="Arial" w:cs="Arial"/>
          <w:sz w:val="25"/>
          <w:szCs w:val="25"/>
          <w:lang w:val="es-CO" w:eastAsia="en-US"/>
        </w:rPr>
        <w:t xml:space="preserve">o en formato pz7. </w:t>
      </w:r>
    </w:p>
    <w:p w14:paraId="6097AF53" w14:textId="77777777" w:rsidR="000A28B8" w:rsidRDefault="000A28B8" w:rsidP="00BB6743">
      <w:pPr>
        <w:contextualSpacing/>
        <w:jc w:val="both"/>
        <w:rPr>
          <w:rFonts w:ascii="Arial" w:hAnsi="Arial" w:cs="Arial"/>
          <w:sz w:val="25"/>
          <w:szCs w:val="25"/>
        </w:rPr>
      </w:pPr>
    </w:p>
    <w:p w14:paraId="1052AD5E" w14:textId="280AD169" w:rsidR="00367895" w:rsidRPr="000A28B8" w:rsidRDefault="00252699" w:rsidP="00B20BA2">
      <w:pPr>
        <w:ind w:left="360"/>
        <w:contextualSpacing/>
        <w:jc w:val="both"/>
        <w:rPr>
          <w:rFonts w:ascii="Arial" w:hAnsi="Arial" w:cs="Arial"/>
          <w:sz w:val="25"/>
          <w:szCs w:val="25"/>
        </w:rPr>
      </w:pPr>
      <w:r w:rsidRPr="000A28B8">
        <w:rPr>
          <w:rFonts w:ascii="Arial" w:hAnsi="Arial" w:cs="Arial"/>
          <w:sz w:val="25"/>
          <w:szCs w:val="25"/>
        </w:rPr>
        <w:t>Para el suministro de esta comunicación se cuenta con un procedimiento alterno, el cual se activará únicamente cuando existan fallas en los servicios de comunicaciones entre las entidades inscritas y Fogafín. La comunicación se puede radicar de forma física en las instalaciones de Fogafín</w:t>
      </w:r>
      <w:r w:rsidR="00A5722F" w:rsidRPr="000A28B8">
        <w:rPr>
          <w:rFonts w:ascii="Arial" w:hAnsi="Arial" w:cs="Arial"/>
          <w:sz w:val="25"/>
          <w:szCs w:val="25"/>
        </w:rPr>
        <w:t xml:space="preserve"> o a través del correo </w:t>
      </w:r>
      <w:hyperlink r:id="rId14" w:history="1">
        <w:r w:rsidR="006D0A40" w:rsidRPr="00CF74AA">
          <w:rPr>
            <w:rStyle w:val="Hipervnculo"/>
            <w:rFonts w:ascii="Arial" w:hAnsi="Arial" w:cs="Arial"/>
            <w:sz w:val="25"/>
            <w:szCs w:val="25"/>
          </w:rPr>
          <w:t>fogafin@fogafin.gov.co</w:t>
        </w:r>
      </w:hyperlink>
      <w:r w:rsidR="006D0A40">
        <w:rPr>
          <w:rFonts w:ascii="Arial" w:hAnsi="Arial" w:cs="Arial"/>
          <w:sz w:val="25"/>
          <w:szCs w:val="25"/>
        </w:rPr>
        <w:t xml:space="preserve"> </w:t>
      </w:r>
      <w:r w:rsidRPr="000A28B8">
        <w:rPr>
          <w:rFonts w:ascii="Arial" w:hAnsi="Arial" w:cs="Arial"/>
          <w:sz w:val="25"/>
          <w:szCs w:val="25"/>
        </w:rPr>
        <w:t xml:space="preserve">a más tardar a las 5:30 p.m. del </w:t>
      </w:r>
      <w:r w:rsidR="00FC1970" w:rsidRPr="000A28B8">
        <w:rPr>
          <w:rFonts w:ascii="Arial" w:hAnsi="Arial" w:cs="Arial"/>
          <w:sz w:val="25"/>
          <w:szCs w:val="25"/>
        </w:rPr>
        <w:t>últim</w:t>
      </w:r>
      <w:r w:rsidR="00997DDB" w:rsidRPr="000A28B8">
        <w:rPr>
          <w:rFonts w:ascii="Arial" w:hAnsi="Arial" w:cs="Arial"/>
          <w:sz w:val="25"/>
          <w:szCs w:val="25"/>
        </w:rPr>
        <w:t>o</w:t>
      </w:r>
      <w:r w:rsidR="00FC1970" w:rsidRPr="000A28B8">
        <w:rPr>
          <w:rFonts w:ascii="Arial" w:hAnsi="Arial" w:cs="Arial"/>
          <w:sz w:val="25"/>
          <w:szCs w:val="25"/>
        </w:rPr>
        <w:t xml:space="preserve"> día hábil de pago de la prima de</w:t>
      </w:r>
      <w:r w:rsidR="00905D98">
        <w:rPr>
          <w:rFonts w:ascii="Arial" w:hAnsi="Arial" w:cs="Arial"/>
          <w:sz w:val="25"/>
          <w:szCs w:val="25"/>
        </w:rPr>
        <w:t>l</w:t>
      </w:r>
      <w:r w:rsidR="00FC1970" w:rsidRPr="000A28B8">
        <w:rPr>
          <w:rFonts w:ascii="Arial" w:hAnsi="Arial" w:cs="Arial"/>
          <w:sz w:val="25"/>
          <w:szCs w:val="25"/>
        </w:rPr>
        <w:t xml:space="preserve"> </w:t>
      </w:r>
      <w:r w:rsidR="00905D98">
        <w:rPr>
          <w:rFonts w:ascii="Arial" w:hAnsi="Arial" w:cs="Arial"/>
          <w:sz w:val="25"/>
          <w:szCs w:val="25"/>
        </w:rPr>
        <w:t>S</w:t>
      </w:r>
      <w:r w:rsidR="00FC1970" w:rsidRPr="000A28B8">
        <w:rPr>
          <w:rFonts w:ascii="Arial" w:hAnsi="Arial" w:cs="Arial"/>
          <w:sz w:val="25"/>
          <w:szCs w:val="25"/>
        </w:rPr>
        <w:t xml:space="preserve">eguro de </w:t>
      </w:r>
      <w:r w:rsidR="00905D98">
        <w:rPr>
          <w:rFonts w:ascii="Arial" w:hAnsi="Arial" w:cs="Arial"/>
          <w:sz w:val="25"/>
          <w:szCs w:val="25"/>
        </w:rPr>
        <w:t>D</w:t>
      </w:r>
      <w:r w:rsidR="00FC1970" w:rsidRPr="000A28B8">
        <w:rPr>
          <w:rFonts w:ascii="Arial" w:hAnsi="Arial" w:cs="Arial"/>
          <w:sz w:val="25"/>
          <w:szCs w:val="25"/>
        </w:rPr>
        <w:t>epósitos.</w:t>
      </w:r>
    </w:p>
    <w:p w14:paraId="3C60F774" w14:textId="77777777" w:rsidR="000A28B8" w:rsidRDefault="000A28B8" w:rsidP="00B20BA2">
      <w:pPr>
        <w:ind w:left="501"/>
        <w:contextualSpacing/>
        <w:jc w:val="both"/>
        <w:rPr>
          <w:rFonts w:ascii="Arial" w:hAnsi="Arial" w:cs="Arial"/>
          <w:sz w:val="25"/>
          <w:szCs w:val="25"/>
        </w:rPr>
      </w:pPr>
    </w:p>
    <w:p w14:paraId="40698198" w14:textId="046978AE" w:rsidR="00BE4831" w:rsidRPr="00BE2418" w:rsidRDefault="00BE4831" w:rsidP="00B20BA2">
      <w:pPr>
        <w:ind w:left="360"/>
        <w:contextualSpacing/>
        <w:jc w:val="both"/>
        <w:rPr>
          <w:rFonts w:ascii="Arial" w:hAnsi="Arial" w:cs="Arial"/>
          <w:sz w:val="25"/>
          <w:szCs w:val="25"/>
        </w:rPr>
      </w:pPr>
      <w:r w:rsidRPr="008A4796">
        <w:rPr>
          <w:rFonts w:ascii="Arial" w:hAnsi="Arial" w:cs="Arial"/>
          <w:sz w:val="25"/>
          <w:szCs w:val="25"/>
        </w:rPr>
        <w:t xml:space="preserve">Por </w:t>
      </w:r>
      <w:r w:rsidR="004D2FB3" w:rsidRPr="008A4796">
        <w:rPr>
          <w:rFonts w:ascii="Arial" w:hAnsi="Arial" w:cs="Arial"/>
          <w:sz w:val="25"/>
          <w:szCs w:val="25"/>
        </w:rPr>
        <w:t>último,</w:t>
      </w:r>
      <w:r w:rsidRPr="008A4796">
        <w:rPr>
          <w:rFonts w:ascii="Arial" w:hAnsi="Arial" w:cs="Arial"/>
          <w:sz w:val="25"/>
          <w:szCs w:val="25"/>
        </w:rPr>
        <w:t xml:space="preserve"> cualquier información </w:t>
      </w:r>
      <w:r w:rsidR="006D0A40" w:rsidRPr="008A4796">
        <w:rPr>
          <w:rFonts w:ascii="Arial" w:hAnsi="Arial" w:cs="Arial"/>
          <w:sz w:val="25"/>
          <w:szCs w:val="25"/>
        </w:rPr>
        <w:t>refer</w:t>
      </w:r>
      <w:r w:rsidR="006D0A40">
        <w:rPr>
          <w:rFonts w:ascii="Arial" w:hAnsi="Arial" w:cs="Arial"/>
          <w:sz w:val="25"/>
          <w:szCs w:val="25"/>
        </w:rPr>
        <w:t>ida</w:t>
      </w:r>
      <w:r w:rsidR="006D0A40" w:rsidRPr="008A4796">
        <w:rPr>
          <w:rFonts w:ascii="Arial" w:hAnsi="Arial" w:cs="Arial"/>
          <w:sz w:val="25"/>
          <w:szCs w:val="25"/>
        </w:rPr>
        <w:t xml:space="preserve"> </w:t>
      </w:r>
      <w:r w:rsidRPr="008A4796">
        <w:rPr>
          <w:rFonts w:ascii="Arial" w:hAnsi="Arial" w:cs="Arial"/>
          <w:sz w:val="25"/>
          <w:szCs w:val="25"/>
        </w:rPr>
        <w:t xml:space="preserve">al proceso </w:t>
      </w:r>
      <w:r w:rsidR="006D0A40">
        <w:rPr>
          <w:rFonts w:ascii="Arial" w:hAnsi="Arial" w:cs="Arial"/>
          <w:sz w:val="25"/>
          <w:szCs w:val="25"/>
        </w:rPr>
        <w:t xml:space="preserve">de </w:t>
      </w:r>
      <w:r w:rsidR="00500013">
        <w:rPr>
          <w:rFonts w:ascii="Arial" w:hAnsi="Arial" w:cs="Arial"/>
          <w:sz w:val="25"/>
          <w:szCs w:val="25"/>
        </w:rPr>
        <w:t xml:space="preserve">liquidación y pago de la prima del Seguro de Depósitos, </w:t>
      </w:r>
      <w:r w:rsidRPr="008A4796">
        <w:rPr>
          <w:rFonts w:ascii="Arial" w:hAnsi="Arial" w:cs="Arial"/>
          <w:sz w:val="25"/>
          <w:szCs w:val="25"/>
        </w:rPr>
        <w:t xml:space="preserve">se </w:t>
      </w:r>
      <w:r w:rsidR="006D0A40">
        <w:rPr>
          <w:rFonts w:ascii="Arial" w:hAnsi="Arial" w:cs="Arial"/>
          <w:sz w:val="25"/>
          <w:szCs w:val="25"/>
        </w:rPr>
        <w:t xml:space="preserve">podrá solicitar </w:t>
      </w:r>
      <w:r w:rsidRPr="008A4796">
        <w:rPr>
          <w:rFonts w:ascii="Arial" w:hAnsi="Arial" w:cs="Arial"/>
          <w:sz w:val="25"/>
          <w:szCs w:val="25"/>
        </w:rPr>
        <w:t xml:space="preserve">a través del correo institucional </w:t>
      </w:r>
      <w:hyperlink r:id="rId15" w:history="1">
        <w:r w:rsidR="006D0A40" w:rsidRPr="00CF74AA">
          <w:rPr>
            <w:rStyle w:val="Hipervnculo"/>
            <w:rFonts w:ascii="Arial" w:hAnsi="Arial" w:cs="Arial"/>
            <w:sz w:val="25"/>
            <w:szCs w:val="25"/>
          </w:rPr>
          <w:t>recaudos@fogafin.gov.co</w:t>
        </w:r>
      </w:hyperlink>
      <w:r w:rsidR="006D0A40">
        <w:rPr>
          <w:rFonts w:ascii="Arial" w:hAnsi="Arial" w:cs="Arial"/>
          <w:sz w:val="25"/>
          <w:szCs w:val="25"/>
        </w:rPr>
        <w:t xml:space="preserve"> </w:t>
      </w:r>
    </w:p>
    <w:p w14:paraId="1BEEA5A8" w14:textId="10920319" w:rsidR="00996085" w:rsidRDefault="00996085" w:rsidP="008168E2">
      <w:pPr>
        <w:pStyle w:val="Prrafodelista"/>
        <w:spacing w:after="0" w:line="240" w:lineRule="auto"/>
        <w:ind w:left="709"/>
        <w:jc w:val="both"/>
        <w:rPr>
          <w:rFonts w:ascii="Arial" w:hAnsi="Arial" w:cs="Arial"/>
          <w:b/>
          <w:sz w:val="25"/>
          <w:szCs w:val="25"/>
        </w:rPr>
      </w:pPr>
    </w:p>
    <w:p w14:paraId="098DD81A" w14:textId="77777777" w:rsidR="00983FD2" w:rsidRPr="00983FD2" w:rsidRDefault="00983FD2" w:rsidP="00983FD2">
      <w:pPr>
        <w:contextualSpacing/>
        <w:jc w:val="both"/>
        <w:rPr>
          <w:rFonts w:ascii="Arial" w:hAnsi="Arial" w:cs="Arial"/>
          <w:sz w:val="25"/>
          <w:szCs w:val="25"/>
        </w:rPr>
      </w:pPr>
      <w:r w:rsidRPr="00983FD2">
        <w:rPr>
          <w:rFonts w:ascii="Arial" w:hAnsi="Arial" w:cs="Arial"/>
          <w:sz w:val="25"/>
          <w:szCs w:val="25"/>
        </w:rPr>
        <w:t xml:space="preserve">Esta Circular rige a partir de su expedición. </w:t>
      </w:r>
    </w:p>
    <w:p w14:paraId="0914BF8D" w14:textId="539D9415" w:rsidR="008802DD" w:rsidRDefault="008802DD" w:rsidP="008168E2">
      <w:pPr>
        <w:contextualSpacing/>
        <w:jc w:val="both"/>
        <w:rPr>
          <w:rFonts w:ascii="Arial" w:hAnsi="Arial" w:cs="Arial"/>
          <w:sz w:val="25"/>
          <w:szCs w:val="25"/>
        </w:rPr>
      </w:pPr>
    </w:p>
    <w:p w14:paraId="7C05385F" w14:textId="77777777" w:rsidR="008802DD" w:rsidRPr="008802DD" w:rsidRDefault="008802DD" w:rsidP="008168E2">
      <w:pPr>
        <w:contextualSpacing/>
        <w:jc w:val="both"/>
        <w:rPr>
          <w:rFonts w:ascii="Arial" w:hAnsi="Arial" w:cs="Arial"/>
          <w:sz w:val="25"/>
          <w:szCs w:val="25"/>
        </w:rPr>
      </w:pPr>
      <w:r w:rsidRPr="008802DD">
        <w:rPr>
          <w:rFonts w:ascii="Arial" w:hAnsi="Arial" w:cs="Arial"/>
          <w:sz w:val="25"/>
          <w:szCs w:val="25"/>
        </w:rPr>
        <w:t>Cordialmente,</w:t>
      </w:r>
    </w:p>
    <w:p w14:paraId="6F507E88" w14:textId="77777777" w:rsidR="008802DD" w:rsidRPr="008802DD" w:rsidRDefault="008802DD" w:rsidP="008168E2">
      <w:pPr>
        <w:contextualSpacing/>
        <w:jc w:val="both"/>
        <w:rPr>
          <w:rFonts w:ascii="Arial" w:hAnsi="Arial" w:cs="Arial"/>
          <w:sz w:val="25"/>
          <w:szCs w:val="25"/>
        </w:rPr>
      </w:pPr>
    </w:p>
    <w:p w14:paraId="7E132881" w14:textId="77777777" w:rsidR="008802DD" w:rsidRDefault="008802DD" w:rsidP="008168E2">
      <w:pPr>
        <w:contextualSpacing/>
        <w:jc w:val="both"/>
        <w:rPr>
          <w:rFonts w:ascii="Arial" w:hAnsi="Arial" w:cs="Arial"/>
          <w:sz w:val="25"/>
          <w:szCs w:val="25"/>
        </w:rPr>
      </w:pPr>
    </w:p>
    <w:p w14:paraId="4005DBDE" w14:textId="77777777" w:rsidR="00575A56" w:rsidRPr="008802DD" w:rsidRDefault="00575A56" w:rsidP="008168E2">
      <w:pPr>
        <w:contextualSpacing/>
        <w:jc w:val="both"/>
        <w:rPr>
          <w:rFonts w:ascii="Arial" w:hAnsi="Arial" w:cs="Arial"/>
          <w:sz w:val="25"/>
          <w:szCs w:val="25"/>
        </w:rPr>
      </w:pPr>
    </w:p>
    <w:p w14:paraId="3BD0A8FE" w14:textId="77777777" w:rsidR="008802DD" w:rsidRPr="008802DD" w:rsidRDefault="008802DD" w:rsidP="008168E2">
      <w:pPr>
        <w:contextualSpacing/>
        <w:jc w:val="both"/>
        <w:rPr>
          <w:rFonts w:ascii="Arial" w:hAnsi="Arial" w:cs="Arial"/>
          <w:sz w:val="25"/>
          <w:szCs w:val="25"/>
        </w:rPr>
      </w:pPr>
    </w:p>
    <w:p w14:paraId="4EEFEDD7" w14:textId="14C3863A" w:rsidR="008802DD" w:rsidRPr="008802DD" w:rsidRDefault="00860878" w:rsidP="008168E2">
      <w:pPr>
        <w:contextualSpacing/>
        <w:jc w:val="both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ANDRÉS VALENCIA PINZÓN</w:t>
      </w:r>
      <w:r w:rsidR="008802DD" w:rsidRPr="008802DD">
        <w:rPr>
          <w:rFonts w:ascii="Arial" w:hAnsi="Arial" w:cs="Arial"/>
          <w:b/>
          <w:sz w:val="25"/>
          <w:szCs w:val="25"/>
        </w:rPr>
        <w:tab/>
      </w:r>
      <w:r w:rsidR="00E43960">
        <w:rPr>
          <w:rFonts w:ascii="Arial" w:hAnsi="Arial" w:cs="Arial"/>
          <w:b/>
          <w:sz w:val="25"/>
          <w:szCs w:val="25"/>
        </w:rPr>
        <w:tab/>
      </w:r>
      <w:r w:rsidR="00A63D2F">
        <w:rPr>
          <w:rFonts w:ascii="Arial" w:hAnsi="Arial" w:cs="Arial"/>
          <w:b/>
          <w:sz w:val="25"/>
          <w:szCs w:val="25"/>
        </w:rPr>
        <w:tab/>
      </w:r>
      <w:r w:rsidR="00A63D2F">
        <w:rPr>
          <w:rFonts w:ascii="Arial" w:hAnsi="Arial" w:cs="Arial"/>
          <w:b/>
        </w:rPr>
        <w:t>DINA MARÍA OLMOS APONTE</w:t>
      </w:r>
    </w:p>
    <w:p w14:paraId="65843B94" w14:textId="4A0061F5" w:rsidR="005F7AAF" w:rsidRDefault="008802DD" w:rsidP="008168E2">
      <w:pPr>
        <w:contextualSpacing/>
        <w:jc w:val="both"/>
        <w:rPr>
          <w:rFonts w:ascii="Arial" w:hAnsi="Arial" w:cs="Arial"/>
          <w:sz w:val="25"/>
          <w:szCs w:val="25"/>
        </w:rPr>
      </w:pPr>
      <w:r w:rsidRPr="008802DD">
        <w:rPr>
          <w:rFonts w:ascii="Arial" w:hAnsi="Arial" w:cs="Arial"/>
          <w:sz w:val="25"/>
          <w:szCs w:val="25"/>
        </w:rPr>
        <w:t>Director</w:t>
      </w:r>
      <w:r w:rsidRPr="008802DD">
        <w:rPr>
          <w:rFonts w:ascii="Arial" w:hAnsi="Arial" w:cs="Arial"/>
          <w:sz w:val="25"/>
          <w:szCs w:val="25"/>
        </w:rPr>
        <w:tab/>
      </w:r>
      <w:r w:rsidRPr="008802DD">
        <w:rPr>
          <w:rFonts w:ascii="Arial" w:hAnsi="Arial" w:cs="Arial"/>
          <w:sz w:val="25"/>
          <w:szCs w:val="25"/>
        </w:rPr>
        <w:tab/>
      </w:r>
      <w:r w:rsidRPr="008802DD">
        <w:rPr>
          <w:rFonts w:ascii="Arial" w:hAnsi="Arial" w:cs="Arial"/>
          <w:sz w:val="25"/>
          <w:szCs w:val="25"/>
        </w:rPr>
        <w:tab/>
      </w:r>
      <w:r w:rsidR="007D7E9F">
        <w:rPr>
          <w:rFonts w:ascii="Arial" w:hAnsi="Arial" w:cs="Arial"/>
          <w:sz w:val="25"/>
          <w:szCs w:val="25"/>
        </w:rPr>
        <w:t xml:space="preserve">        </w:t>
      </w:r>
      <w:r w:rsidR="00A63D2F">
        <w:rPr>
          <w:rFonts w:ascii="Arial" w:hAnsi="Arial" w:cs="Arial"/>
          <w:sz w:val="25"/>
          <w:szCs w:val="25"/>
        </w:rPr>
        <w:tab/>
      </w:r>
      <w:r w:rsidR="00A63D2F">
        <w:rPr>
          <w:rFonts w:ascii="Arial" w:hAnsi="Arial" w:cs="Arial"/>
          <w:sz w:val="25"/>
          <w:szCs w:val="25"/>
        </w:rPr>
        <w:tab/>
      </w:r>
      <w:r w:rsidR="00A63D2F">
        <w:rPr>
          <w:rFonts w:ascii="Arial" w:hAnsi="Arial" w:cs="Arial"/>
          <w:sz w:val="25"/>
          <w:szCs w:val="25"/>
        </w:rPr>
        <w:tab/>
      </w:r>
      <w:r w:rsidR="00A63D2F">
        <w:rPr>
          <w:rFonts w:ascii="Arial" w:hAnsi="Arial" w:cs="Arial"/>
        </w:rPr>
        <w:t>Subdirectora Corporativa</w:t>
      </w:r>
    </w:p>
    <w:p w14:paraId="36A87EE8" w14:textId="42823FEC" w:rsidR="00A63D2F" w:rsidRDefault="00A63D2F" w:rsidP="008168E2">
      <w:pPr>
        <w:contextualSpacing/>
        <w:jc w:val="both"/>
        <w:rPr>
          <w:rFonts w:ascii="Arial" w:hAnsi="Arial" w:cs="Arial"/>
          <w:sz w:val="25"/>
          <w:szCs w:val="25"/>
        </w:rPr>
      </w:pPr>
    </w:p>
    <w:p w14:paraId="2E09FB55" w14:textId="77777777" w:rsidR="00A63D2F" w:rsidRPr="008802DD" w:rsidRDefault="00A63D2F" w:rsidP="008168E2">
      <w:pPr>
        <w:contextualSpacing/>
        <w:jc w:val="both"/>
        <w:rPr>
          <w:rFonts w:ascii="Arial" w:hAnsi="Arial" w:cs="Arial"/>
          <w:sz w:val="25"/>
          <w:szCs w:val="25"/>
        </w:rPr>
      </w:pPr>
    </w:p>
    <w:sectPr w:rsidR="00A63D2F" w:rsidRPr="008802DD" w:rsidSect="002C335D">
      <w:headerReference w:type="default" r:id="rId16"/>
      <w:footerReference w:type="default" r:id="rId17"/>
      <w:pgSz w:w="12242" w:h="15842" w:code="1"/>
      <w:pgMar w:top="899" w:right="1418" w:bottom="1418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81722" w14:textId="77777777" w:rsidR="002033AE" w:rsidRDefault="002033AE">
      <w:r>
        <w:separator/>
      </w:r>
    </w:p>
  </w:endnote>
  <w:endnote w:type="continuationSeparator" w:id="0">
    <w:p w14:paraId="467FAC4D" w14:textId="77777777" w:rsidR="002033AE" w:rsidRDefault="0020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4683455"/>
      <w:docPartObj>
        <w:docPartGallery w:val="Page Numbers (Bottom of Page)"/>
        <w:docPartUnique/>
      </w:docPartObj>
    </w:sdtPr>
    <w:sdtEndPr/>
    <w:sdtContent>
      <w:p w14:paraId="53975F3F" w14:textId="7EBE9EB1" w:rsidR="008168E2" w:rsidRDefault="008168E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587C2B" w14:textId="77777777" w:rsidR="002F7D11" w:rsidRDefault="002F7D11" w:rsidP="00287042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8B107" w14:textId="77777777" w:rsidR="002033AE" w:rsidRDefault="002033AE">
      <w:r>
        <w:separator/>
      </w:r>
    </w:p>
  </w:footnote>
  <w:footnote w:type="continuationSeparator" w:id="0">
    <w:p w14:paraId="31BDD8AF" w14:textId="77777777" w:rsidR="002033AE" w:rsidRDefault="002033AE">
      <w:r>
        <w:continuationSeparator/>
      </w:r>
    </w:p>
  </w:footnote>
  <w:footnote w:id="1">
    <w:p w14:paraId="5772BEC0" w14:textId="49D0EA7B" w:rsidR="00905D98" w:rsidRPr="00905D98" w:rsidRDefault="00905D98">
      <w:pPr>
        <w:pStyle w:val="Textonotapie"/>
        <w:rPr>
          <w:rFonts w:ascii="Arial" w:hAnsi="Arial" w:cs="Arial"/>
          <w:lang w:val="es-CO"/>
        </w:rPr>
      </w:pPr>
      <w:r w:rsidRPr="00905D98">
        <w:rPr>
          <w:rStyle w:val="Refdenotaalpie"/>
          <w:rFonts w:ascii="Arial" w:hAnsi="Arial" w:cs="Arial"/>
        </w:rPr>
        <w:footnoteRef/>
      </w:r>
      <w:r w:rsidRPr="00905D98">
        <w:rPr>
          <w:rFonts w:ascii="Arial" w:hAnsi="Arial" w:cs="Arial"/>
        </w:rPr>
        <w:t xml:space="preserve"> PDF Advanced Electronic Signatures. Mecanismo mediante el cual al archivo PDF se le inserta la firma como metadata.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CC29D" w14:textId="77777777" w:rsidR="008A262E" w:rsidRDefault="00CD6625" w:rsidP="006A1073">
    <w:pPr>
      <w:pStyle w:val="Encabezado"/>
      <w:jc w:val="right"/>
    </w:pPr>
    <w:r w:rsidRPr="006563A9">
      <w:rPr>
        <w:noProof/>
      </w:rPr>
      <w:drawing>
        <wp:anchor distT="0" distB="0" distL="114300" distR="114300" simplePos="0" relativeHeight="251659264" behindDoc="1" locked="0" layoutInCell="1" allowOverlap="1" wp14:anchorId="1F3E1DEB" wp14:editId="2D0E7D97">
          <wp:simplePos x="0" y="0"/>
          <wp:positionH relativeFrom="column">
            <wp:posOffset>0</wp:posOffset>
          </wp:positionH>
          <wp:positionV relativeFrom="paragraph">
            <wp:posOffset>-232117</wp:posOffset>
          </wp:positionV>
          <wp:extent cx="1486634" cy="678425"/>
          <wp:effectExtent l="0" t="0" r="0" b="0"/>
          <wp:wrapNone/>
          <wp:docPr id="67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634" cy="678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F2AF58" w14:textId="77777777" w:rsidR="008A262E" w:rsidRDefault="008A26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5700"/>
    <w:multiLevelType w:val="hybridMultilevel"/>
    <w:tmpl w:val="E54EA25C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F4AAC"/>
    <w:multiLevelType w:val="hybridMultilevel"/>
    <w:tmpl w:val="2F24D7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70A65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E486FA1"/>
    <w:multiLevelType w:val="hybridMultilevel"/>
    <w:tmpl w:val="B016D326"/>
    <w:lvl w:ilvl="0" w:tplc="7982DC2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  <w:b/>
      </w:rPr>
    </w:lvl>
    <w:lvl w:ilvl="1" w:tplc="2494874A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93918F0"/>
    <w:multiLevelType w:val="hybridMultilevel"/>
    <w:tmpl w:val="C0BED4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23E8B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6F33755"/>
    <w:multiLevelType w:val="hybridMultilevel"/>
    <w:tmpl w:val="07D82BD4"/>
    <w:lvl w:ilvl="0" w:tplc="FB3E03F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036A0"/>
    <w:multiLevelType w:val="multilevel"/>
    <w:tmpl w:val="C070FB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EF83BC7"/>
    <w:multiLevelType w:val="hybridMultilevel"/>
    <w:tmpl w:val="A1BAED9E"/>
    <w:lvl w:ilvl="0" w:tplc="FB3E03F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601745">
    <w:abstractNumId w:val="3"/>
  </w:num>
  <w:num w:numId="2" w16cid:durableId="380058236">
    <w:abstractNumId w:val="5"/>
  </w:num>
  <w:num w:numId="3" w16cid:durableId="2133202431">
    <w:abstractNumId w:val="2"/>
  </w:num>
  <w:num w:numId="4" w16cid:durableId="541484413">
    <w:abstractNumId w:val="8"/>
  </w:num>
  <w:num w:numId="5" w16cid:durableId="1094477813">
    <w:abstractNumId w:val="7"/>
  </w:num>
  <w:num w:numId="6" w16cid:durableId="534468118">
    <w:abstractNumId w:val="0"/>
  </w:num>
  <w:num w:numId="7" w16cid:durableId="1442453283">
    <w:abstractNumId w:val="1"/>
  </w:num>
  <w:num w:numId="8" w16cid:durableId="738018834">
    <w:abstractNumId w:val="4"/>
  </w:num>
  <w:num w:numId="9" w16cid:durableId="1985183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715"/>
    <w:rsid w:val="00016C32"/>
    <w:rsid w:val="00021B3E"/>
    <w:rsid w:val="00022E99"/>
    <w:rsid w:val="00040681"/>
    <w:rsid w:val="00043948"/>
    <w:rsid w:val="00050CC6"/>
    <w:rsid w:val="000772EF"/>
    <w:rsid w:val="00094064"/>
    <w:rsid w:val="000A28B8"/>
    <w:rsid w:val="000A2E3B"/>
    <w:rsid w:val="000C4586"/>
    <w:rsid w:val="000C64BC"/>
    <w:rsid w:val="000D0067"/>
    <w:rsid w:val="000D4C71"/>
    <w:rsid w:val="000E6FE4"/>
    <w:rsid w:val="000E7CB0"/>
    <w:rsid w:val="000F031A"/>
    <w:rsid w:val="00112595"/>
    <w:rsid w:val="00123142"/>
    <w:rsid w:val="00125363"/>
    <w:rsid w:val="00132646"/>
    <w:rsid w:val="001404DA"/>
    <w:rsid w:val="00140E75"/>
    <w:rsid w:val="00151F79"/>
    <w:rsid w:val="00164720"/>
    <w:rsid w:val="00173B84"/>
    <w:rsid w:val="001873F9"/>
    <w:rsid w:val="00193F53"/>
    <w:rsid w:val="00195BDA"/>
    <w:rsid w:val="001A7441"/>
    <w:rsid w:val="001B1B4F"/>
    <w:rsid w:val="001B2790"/>
    <w:rsid w:val="001B4B31"/>
    <w:rsid w:val="001D5182"/>
    <w:rsid w:val="001D5B74"/>
    <w:rsid w:val="001D6D63"/>
    <w:rsid w:val="001E084E"/>
    <w:rsid w:val="001E3A89"/>
    <w:rsid w:val="001E4A17"/>
    <w:rsid w:val="001E7CFF"/>
    <w:rsid w:val="002033AE"/>
    <w:rsid w:val="0021187B"/>
    <w:rsid w:val="00212ECE"/>
    <w:rsid w:val="00216B4C"/>
    <w:rsid w:val="002434FA"/>
    <w:rsid w:val="00247143"/>
    <w:rsid w:val="002514DC"/>
    <w:rsid w:val="00251573"/>
    <w:rsid w:val="002515CC"/>
    <w:rsid w:val="00252699"/>
    <w:rsid w:val="00256387"/>
    <w:rsid w:val="00265CB9"/>
    <w:rsid w:val="002759A2"/>
    <w:rsid w:val="0028012C"/>
    <w:rsid w:val="00281808"/>
    <w:rsid w:val="00282864"/>
    <w:rsid w:val="002868BF"/>
    <w:rsid w:val="002869E5"/>
    <w:rsid w:val="00287042"/>
    <w:rsid w:val="002946F1"/>
    <w:rsid w:val="002A35DB"/>
    <w:rsid w:val="002B1241"/>
    <w:rsid w:val="002B3DEB"/>
    <w:rsid w:val="002B6478"/>
    <w:rsid w:val="002C335D"/>
    <w:rsid w:val="002D1364"/>
    <w:rsid w:val="002E65C0"/>
    <w:rsid w:val="002F7D11"/>
    <w:rsid w:val="00301DAF"/>
    <w:rsid w:val="0030402D"/>
    <w:rsid w:val="003055F7"/>
    <w:rsid w:val="00310466"/>
    <w:rsid w:val="00344667"/>
    <w:rsid w:val="0036465F"/>
    <w:rsid w:val="00366516"/>
    <w:rsid w:val="00366858"/>
    <w:rsid w:val="00367895"/>
    <w:rsid w:val="0038092E"/>
    <w:rsid w:val="00380F75"/>
    <w:rsid w:val="00381957"/>
    <w:rsid w:val="00381F55"/>
    <w:rsid w:val="00387E3E"/>
    <w:rsid w:val="00392699"/>
    <w:rsid w:val="003A029A"/>
    <w:rsid w:val="003B0995"/>
    <w:rsid w:val="003B203A"/>
    <w:rsid w:val="003D4EA6"/>
    <w:rsid w:val="003D6384"/>
    <w:rsid w:val="003D6EA9"/>
    <w:rsid w:val="003E75F7"/>
    <w:rsid w:val="003F5B19"/>
    <w:rsid w:val="004232AC"/>
    <w:rsid w:val="00426432"/>
    <w:rsid w:val="00441006"/>
    <w:rsid w:val="004564F1"/>
    <w:rsid w:val="00470326"/>
    <w:rsid w:val="00473F1B"/>
    <w:rsid w:val="00476715"/>
    <w:rsid w:val="00477F2E"/>
    <w:rsid w:val="00485425"/>
    <w:rsid w:val="004858CF"/>
    <w:rsid w:val="004A52FC"/>
    <w:rsid w:val="004B0E46"/>
    <w:rsid w:val="004B2392"/>
    <w:rsid w:val="004B3F9E"/>
    <w:rsid w:val="004C3BFF"/>
    <w:rsid w:val="004D0668"/>
    <w:rsid w:val="004D2FB3"/>
    <w:rsid w:val="004D34CB"/>
    <w:rsid w:val="004D3C08"/>
    <w:rsid w:val="004D6CCE"/>
    <w:rsid w:val="004E4C37"/>
    <w:rsid w:val="004F00FC"/>
    <w:rsid w:val="00500013"/>
    <w:rsid w:val="0050413E"/>
    <w:rsid w:val="00507F10"/>
    <w:rsid w:val="00521F75"/>
    <w:rsid w:val="00524715"/>
    <w:rsid w:val="00524C54"/>
    <w:rsid w:val="0052584A"/>
    <w:rsid w:val="00535332"/>
    <w:rsid w:val="00537AF4"/>
    <w:rsid w:val="005439C5"/>
    <w:rsid w:val="00544858"/>
    <w:rsid w:val="00557C88"/>
    <w:rsid w:val="00575A56"/>
    <w:rsid w:val="005943DA"/>
    <w:rsid w:val="005A4E50"/>
    <w:rsid w:val="005D6343"/>
    <w:rsid w:val="005E5B2A"/>
    <w:rsid w:val="005E5F13"/>
    <w:rsid w:val="005F7AAF"/>
    <w:rsid w:val="006037E5"/>
    <w:rsid w:val="00604F91"/>
    <w:rsid w:val="00613696"/>
    <w:rsid w:val="00617041"/>
    <w:rsid w:val="00622FD8"/>
    <w:rsid w:val="00631A30"/>
    <w:rsid w:val="00635A4F"/>
    <w:rsid w:val="00637008"/>
    <w:rsid w:val="00660BE7"/>
    <w:rsid w:val="006705D8"/>
    <w:rsid w:val="0067754A"/>
    <w:rsid w:val="006861BB"/>
    <w:rsid w:val="0069543B"/>
    <w:rsid w:val="00696DFB"/>
    <w:rsid w:val="006A1073"/>
    <w:rsid w:val="006A25E6"/>
    <w:rsid w:val="006B234F"/>
    <w:rsid w:val="006B77E8"/>
    <w:rsid w:val="006C0DB3"/>
    <w:rsid w:val="006D0885"/>
    <w:rsid w:val="006D0A40"/>
    <w:rsid w:val="006D2DD0"/>
    <w:rsid w:val="006D4E17"/>
    <w:rsid w:val="006E486A"/>
    <w:rsid w:val="006E6466"/>
    <w:rsid w:val="006F550B"/>
    <w:rsid w:val="00700828"/>
    <w:rsid w:val="00702A34"/>
    <w:rsid w:val="007107D3"/>
    <w:rsid w:val="00723034"/>
    <w:rsid w:val="00727149"/>
    <w:rsid w:val="00730486"/>
    <w:rsid w:val="00742820"/>
    <w:rsid w:val="0074498B"/>
    <w:rsid w:val="00745F28"/>
    <w:rsid w:val="00751830"/>
    <w:rsid w:val="00752778"/>
    <w:rsid w:val="00756B73"/>
    <w:rsid w:val="00762DE2"/>
    <w:rsid w:val="007669AF"/>
    <w:rsid w:val="0076743E"/>
    <w:rsid w:val="00767F3A"/>
    <w:rsid w:val="00770257"/>
    <w:rsid w:val="00771FC1"/>
    <w:rsid w:val="00773241"/>
    <w:rsid w:val="0078427F"/>
    <w:rsid w:val="00790B35"/>
    <w:rsid w:val="007A3FE5"/>
    <w:rsid w:val="007B69AD"/>
    <w:rsid w:val="007C10D8"/>
    <w:rsid w:val="007C49B7"/>
    <w:rsid w:val="007D0AF4"/>
    <w:rsid w:val="007D0B8A"/>
    <w:rsid w:val="007D136C"/>
    <w:rsid w:val="007D2CA9"/>
    <w:rsid w:val="007D65C4"/>
    <w:rsid w:val="007D7E9F"/>
    <w:rsid w:val="007E1299"/>
    <w:rsid w:val="007F4E93"/>
    <w:rsid w:val="007F5F25"/>
    <w:rsid w:val="008008A1"/>
    <w:rsid w:val="00802625"/>
    <w:rsid w:val="00811198"/>
    <w:rsid w:val="008168E2"/>
    <w:rsid w:val="0083206C"/>
    <w:rsid w:val="0084314E"/>
    <w:rsid w:val="00843282"/>
    <w:rsid w:val="00853B5D"/>
    <w:rsid w:val="00860878"/>
    <w:rsid w:val="008622E7"/>
    <w:rsid w:val="008623EB"/>
    <w:rsid w:val="0086349A"/>
    <w:rsid w:val="00875B59"/>
    <w:rsid w:val="00877318"/>
    <w:rsid w:val="008802DD"/>
    <w:rsid w:val="00880ED1"/>
    <w:rsid w:val="0088189D"/>
    <w:rsid w:val="008A262E"/>
    <w:rsid w:val="008A4796"/>
    <w:rsid w:val="008B2408"/>
    <w:rsid w:val="008C251A"/>
    <w:rsid w:val="008E2491"/>
    <w:rsid w:val="008F1853"/>
    <w:rsid w:val="008F7C3C"/>
    <w:rsid w:val="00905D98"/>
    <w:rsid w:val="00913074"/>
    <w:rsid w:val="009144BA"/>
    <w:rsid w:val="00916651"/>
    <w:rsid w:val="009216B2"/>
    <w:rsid w:val="009219A9"/>
    <w:rsid w:val="009416BF"/>
    <w:rsid w:val="00942A85"/>
    <w:rsid w:val="00956349"/>
    <w:rsid w:val="00957011"/>
    <w:rsid w:val="0096140F"/>
    <w:rsid w:val="00977BA8"/>
    <w:rsid w:val="00983FD2"/>
    <w:rsid w:val="00986DF7"/>
    <w:rsid w:val="00996085"/>
    <w:rsid w:val="00997DDB"/>
    <w:rsid w:val="009A0D5D"/>
    <w:rsid w:val="009A0DB6"/>
    <w:rsid w:val="009A7736"/>
    <w:rsid w:val="009C636E"/>
    <w:rsid w:val="009D0006"/>
    <w:rsid w:val="009D05FB"/>
    <w:rsid w:val="009F0CA7"/>
    <w:rsid w:val="009F4027"/>
    <w:rsid w:val="009F4E8C"/>
    <w:rsid w:val="009F7F5F"/>
    <w:rsid w:val="00A008CD"/>
    <w:rsid w:val="00A1552A"/>
    <w:rsid w:val="00A2427B"/>
    <w:rsid w:val="00A2780A"/>
    <w:rsid w:val="00A40D74"/>
    <w:rsid w:val="00A41E07"/>
    <w:rsid w:val="00A452C7"/>
    <w:rsid w:val="00A514F0"/>
    <w:rsid w:val="00A5225A"/>
    <w:rsid w:val="00A54C55"/>
    <w:rsid w:val="00A5722F"/>
    <w:rsid w:val="00A6083F"/>
    <w:rsid w:val="00A63D2F"/>
    <w:rsid w:val="00A70BCE"/>
    <w:rsid w:val="00A713D1"/>
    <w:rsid w:val="00A7721A"/>
    <w:rsid w:val="00A85B23"/>
    <w:rsid w:val="00A8673C"/>
    <w:rsid w:val="00A878C7"/>
    <w:rsid w:val="00AB0F8F"/>
    <w:rsid w:val="00AB3B47"/>
    <w:rsid w:val="00AD1E4A"/>
    <w:rsid w:val="00AD54FD"/>
    <w:rsid w:val="00AD6AB3"/>
    <w:rsid w:val="00AE0134"/>
    <w:rsid w:val="00AE2653"/>
    <w:rsid w:val="00AF7F62"/>
    <w:rsid w:val="00B01F41"/>
    <w:rsid w:val="00B02DFD"/>
    <w:rsid w:val="00B1565B"/>
    <w:rsid w:val="00B20BA2"/>
    <w:rsid w:val="00B21D20"/>
    <w:rsid w:val="00B22D46"/>
    <w:rsid w:val="00B56C0A"/>
    <w:rsid w:val="00B63099"/>
    <w:rsid w:val="00B80F07"/>
    <w:rsid w:val="00B96E8D"/>
    <w:rsid w:val="00BB06A6"/>
    <w:rsid w:val="00BB4E27"/>
    <w:rsid w:val="00BB6743"/>
    <w:rsid w:val="00BD2A96"/>
    <w:rsid w:val="00BD6A94"/>
    <w:rsid w:val="00BE00FE"/>
    <w:rsid w:val="00BE136B"/>
    <w:rsid w:val="00BE2418"/>
    <w:rsid w:val="00BE3598"/>
    <w:rsid w:val="00BE3ED0"/>
    <w:rsid w:val="00BE4831"/>
    <w:rsid w:val="00BF048D"/>
    <w:rsid w:val="00BF20A0"/>
    <w:rsid w:val="00C24EEB"/>
    <w:rsid w:val="00C261EB"/>
    <w:rsid w:val="00C30FB2"/>
    <w:rsid w:val="00C3628C"/>
    <w:rsid w:val="00C42FB8"/>
    <w:rsid w:val="00C513E2"/>
    <w:rsid w:val="00C550F0"/>
    <w:rsid w:val="00C66875"/>
    <w:rsid w:val="00C74320"/>
    <w:rsid w:val="00C8063A"/>
    <w:rsid w:val="00C845EE"/>
    <w:rsid w:val="00C86C6B"/>
    <w:rsid w:val="00C86EF2"/>
    <w:rsid w:val="00C947F9"/>
    <w:rsid w:val="00CA16A6"/>
    <w:rsid w:val="00CD163C"/>
    <w:rsid w:val="00CD4A07"/>
    <w:rsid w:val="00CD60C3"/>
    <w:rsid w:val="00CD6625"/>
    <w:rsid w:val="00CE294B"/>
    <w:rsid w:val="00CE33B8"/>
    <w:rsid w:val="00CF4051"/>
    <w:rsid w:val="00D0600A"/>
    <w:rsid w:val="00D06418"/>
    <w:rsid w:val="00D15797"/>
    <w:rsid w:val="00D24AE3"/>
    <w:rsid w:val="00D534E9"/>
    <w:rsid w:val="00D53BF0"/>
    <w:rsid w:val="00D85331"/>
    <w:rsid w:val="00D911F4"/>
    <w:rsid w:val="00D951F4"/>
    <w:rsid w:val="00DA20F2"/>
    <w:rsid w:val="00DC14D2"/>
    <w:rsid w:val="00DD13DC"/>
    <w:rsid w:val="00DE266C"/>
    <w:rsid w:val="00DE5470"/>
    <w:rsid w:val="00DE753C"/>
    <w:rsid w:val="00DF6674"/>
    <w:rsid w:val="00DF7645"/>
    <w:rsid w:val="00E06DBA"/>
    <w:rsid w:val="00E12F40"/>
    <w:rsid w:val="00E235E0"/>
    <w:rsid w:val="00E25688"/>
    <w:rsid w:val="00E267A7"/>
    <w:rsid w:val="00E26D1F"/>
    <w:rsid w:val="00E30994"/>
    <w:rsid w:val="00E32214"/>
    <w:rsid w:val="00E43960"/>
    <w:rsid w:val="00E4735B"/>
    <w:rsid w:val="00E5549F"/>
    <w:rsid w:val="00E554AF"/>
    <w:rsid w:val="00E56739"/>
    <w:rsid w:val="00E63175"/>
    <w:rsid w:val="00E73789"/>
    <w:rsid w:val="00E82485"/>
    <w:rsid w:val="00E85CE9"/>
    <w:rsid w:val="00E90634"/>
    <w:rsid w:val="00E92698"/>
    <w:rsid w:val="00EB6531"/>
    <w:rsid w:val="00EC1378"/>
    <w:rsid w:val="00EC1AAE"/>
    <w:rsid w:val="00ED20E6"/>
    <w:rsid w:val="00ED7994"/>
    <w:rsid w:val="00EF2F80"/>
    <w:rsid w:val="00EF3F87"/>
    <w:rsid w:val="00F00363"/>
    <w:rsid w:val="00F0405F"/>
    <w:rsid w:val="00F05728"/>
    <w:rsid w:val="00F13D32"/>
    <w:rsid w:val="00F1636E"/>
    <w:rsid w:val="00F21B1F"/>
    <w:rsid w:val="00F27844"/>
    <w:rsid w:val="00F312F3"/>
    <w:rsid w:val="00F4640C"/>
    <w:rsid w:val="00F47636"/>
    <w:rsid w:val="00F64255"/>
    <w:rsid w:val="00F7676F"/>
    <w:rsid w:val="00F76C0A"/>
    <w:rsid w:val="00F823E5"/>
    <w:rsid w:val="00F84DAA"/>
    <w:rsid w:val="00F85F4B"/>
    <w:rsid w:val="00F90B2F"/>
    <w:rsid w:val="00F94436"/>
    <w:rsid w:val="00FA7D60"/>
    <w:rsid w:val="00FB1655"/>
    <w:rsid w:val="00FB58CC"/>
    <w:rsid w:val="00FC149E"/>
    <w:rsid w:val="00FC1970"/>
    <w:rsid w:val="00FF0169"/>
    <w:rsid w:val="00FF2152"/>
    <w:rsid w:val="00FF2F2E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47353C6"/>
  <w15:chartTrackingRefBased/>
  <w15:docId w15:val="{7EF009A0-CBDB-4DC6-AACF-09A6D5C4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D6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5439C5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rsid w:val="00B22D4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2F7D11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2F7D11"/>
    <w:rPr>
      <w:rFonts w:ascii="Tahoma" w:hAnsi="Tahoma" w:cs="Tahoma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8802D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802DD"/>
    <w:rPr>
      <w:lang w:val="es-ES" w:eastAsia="es-ES"/>
    </w:rPr>
  </w:style>
  <w:style w:type="character" w:styleId="Refdenotaalpie">
    <w:name w:val="footnote reference"/>
    <w:uiPriority w:val="99"/>
    <w:rsid w:val="008802DD"/>
    <w:rPr>
      <w:rFonts w:cs="Times New Roman"/>
      <w:vertAlign w:val="superscript"/>
    </w:rPr>
  </w:style>
  <w:style w:type="paragraph" w:styleId="Textoindependiente">
    <w:name w:val="Body Text"/>
    <w:basedOn w:val="Normal"/>
    <w:link w:val="TextoindependienteCar"/>
    <w:uiPriority w:val="99"/>
    <w:rsid w:val="008802DD"/>
    <w:pPr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802DD"/>
    <w:rPr>
      <w:rFonts w:ascii="Arial" w:hAnsi="Arial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99"/>
    <w:qFormat/>
    <w:rsid w:val="008802D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O" w:eastAsia="en-US"/>
    </w:rPr>
  </w:style>
  <w:style w:type="character" w:styleId="nfasis">
    <w:name w:val="Emphasis"/>
    <w:uiPriority w:val="20"/>
    <w:qFormat/>
    <w:rsid w:val="008802DD"/>
    <w:rPr>
      <w:i/>
      <w:iCs/>
    </w:rPr>
  </w:style>
  <w:style w:type="character" w:customStyle="1" w:styleId="apple-converted-space">
    <w:name w:val="apple-converted-space"/>
    <w:rsid w:val="008802DD"/>
  </w:style>
  <w:style w:type="character" w:styleId="Refdecomentario">
    <w:name w:val="annotation reference"/>
    <w:basedOn w:val="Fuentedeprrafopredeter"/>
    <w:rsid w:val="0084328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4328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4328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432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43282"/>
    <w:rPr>
      <w:b/>
      <w:bCs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2653"/>
    <w:rPr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67754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7754A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485425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D0885"/>
    <w:pPr>
      <w:spacing w:before="100" w:beforeAutospacing="1" w:after="100" w:afterAutospacing="1"/>
    </w:pPr>
    <w:rPr>
      <w:lang w:val="es-CO" w:eastAsia="es-CO"/>
    </w:rPr>
  </w:style>
  <w:style w:type="character" w:styleId="Hipervnculovisitado">
    <w:name w:val="FollowedHyperlink"/>
    <w:basedOn w:val="Fuentedeprrafopredeter"/>
    <w:rsid w:val="007A3F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ecaudos@fogafin.gov.c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cnpsd.fogafin.gov.co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recaudos@fogafin.gov.co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ogafin@fogafin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AD06D32BA2B34EAFF070A5BE256B33" ma:contentTypeVersion="7" ma:contentTypeDescription="Crear nuevo documento." ma:contentTypeScope="" ma:versionID="e347624f65e9364c53a7a505f7f8efd9">
  <xsd:schema xmlns:xsd="http://www.w3.org/2001/XMLSchema" xmlns:xs="http://www.w3.org/2001/XMLSchema" xmlns:p="http://schemas.microsoft.com/office/2006/metadata/properties" xmlns:ns3="5f233f56-7c69-4fc5-974c-210877fe4229" xmlns:ns4="dcf476f1-20c5-42d3-a121-3415b7be502e" targetNamespace="http://schemas.microsoft.com/office/2006/metadata/properties" ma:root="true" ma:fieldsID="bb8ad11bb0f67c2042817645aa93c238" ns3:_="" ns4:_="">
    <xsd:import namespace="5f233f56-7c69-4fc5-974c-210877fe4229"/>
    <xsd:import namespace="dcf476f1-20c5-42d3-a121-3415b7be50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Details" minOccurs="0"/>
                <xsd:element ref="ns4:SharingHintHash" minOccurs="0"/>
                <xsd:element ref="ns4:SharedWithUser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33f56-7c69-4fc5-974c-210877fe42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476f1-20c5-42d3-a121-3415b7be502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de la sugerencia para compartir" ma:hidden="true" ma:internalName="SharingHintHash" ma:readOnly="true">
      <xsd:simpleType>
        <xsd:restriction base="dms:Text"/>
      </xsd:simpleType>
    </xsd:element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3FB3F7-35DB-43AD-BCE4-3049BFA3ABC0}">
  <ds:schemaRefs>
    <ds:schemaRef ds:uri="http://schemas.microsoft.com/office/infopath/2007/PartnerControls"/>
    <ds:schemaRef ds:uri="http://schemas.microsoft.com/office/2006/documentManagement/types"/>
    <ds:schemaRef ds:uri="dcf476f1-20c5-42d3-a121-3415b7be502e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5f233f56-7c69-4fc5-974c-210877fe422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B39F133-D2DE-48F0-BE25-E390D7D37E1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AE666FF-745A-4CAA-8FFA-37E7A7E8B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9B5FF9-95D0-4808-A519-3047F4EA1FF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AFD4CFF-F80F-4A57-9564-6D22681BB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33f56-7c69-4fc5-974c-210877fe4229"/>
    <ds:schemaRef ds:uri="dcf476f1-20c5-42d3-a121-3415b7be5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INDTITUCIONES FINANCIERAS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FONDO DE GARANTIAS DE</dc:creator>
  <cp:keywords/>
  <cp:lastModifiedBy>Fondo de Garantías de Instituciones Financieras</cp:lastModifiedBy>
  <cp:revision>2</cp:revision>
  <cp:lastPrinted>2008-10-02T22:26:00Z</cp:lastPrinted>
  <dcterms:created xsi:type="dcterms:W3CDTF">2022-07-26T13:32:00Z</dcterms:created>
  <dcterms:modified xsi:type="dcterms:W3CDTF">2022-07-26T13:32:00Z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0x01010056AD06D32BA2B34EAFF070A5BE256B33</vt:lpwstr>
  </property>
</Properties>
</file>