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8F8DA2" w14:textId="2B9753B2" w:rsidR="00E43960" w:rsidRDefault="00E43960" w:rsidP="00E43960">
      <w:pPr>
        <w:tabs>
          <w:tab w:val="left" w:pos="11590"/>
        </w:tabs>
        <w:autoSpaceDE w:val="0"/>
        <w:autoSpaceDN w:val="0"/>
        <w:adjustRightInd w:val="0"/>
        <w:jc w:val="center"/>
        <w:outlineLvl w:val="0"/>
        <w:rPr>
          <w:rFonts w:ascii="Arial" w:hAnsi="Arial" w:cs="Arial"/>
          <w:b/>
          <w:lang w:val="es-ES_tradnl"/>
        </w:rPr>
      </w:pPr>
      <w:r>
        <w:rPr>
          <w:rFonts w:ascii="Arial" w:hAnsi="Arial" w:cs="Arial"/>
          <w:b/>
        </w:rPr>
        <w:t xml:space="preserve">Nota: En el presente proyecto de </w:t>
      </w:r>
      <w:r w:rsidR="00D0600A">
        <w:rPr>
          <w:rFonts w:ascii="Arial" w:hAnsi="Arial" w:cs="Arial"/>
          <w:b/>
        </w:rPr>
        <w:t>Circular Externa</w:t>
      </w:r>
      <w:r>
        <w:rPr>
          <w:rFonts w:ascii="Arial" w:hAnsi="Arial" w:cs="Arial"/>
          <w:b/>
        </w:rPr>
        <w:t xml:space="preserve"> se destaca en negrilla y subrayado las principales modificaciones propuestas</w:t>
      </w:r>
    </w:p>
    <w:p w14:paraId="6638CB99" w14:textId="77777777" w:rsidR="00E43960" w:rsidRDefault="00E43960" w:rsidP="008802DD">
      <w:pPr>
        <w:jc w:val="center"/>
        <w:rPr>
          <w:rFonts w:ascii="Arial" w:hAnsi="Arial" w:cs="Arial"/>
          <w:b/>
          <w:sz w:val="25"/>
          <w:szCs w:val="25"/>
        </w:rPr>
      </w:pPr>
    </w:p>
    <w:p w14:paraId="51E06B53" w14:textId="77777777" w:rsidR="00E43960" w:rsidRDefault="00E43960" w:rsidP="008802DD">
      <w:pPr>
        <w:jc w:val="center"/>
        <w:rPr>
          <w:rFonts w:ascii="Arial" w:hAnsi="Arial" w:cs="Arial"/>
          <w:b/>
          <w:sz w:val="25"/>
          <w:szCs w:val="25"/>
        </w:rPr>
      </w:pPr>
    </w:p>
    <w:p w14:paraId="55C6E37A" w14:textId="1877278F" w:rsidR="00476715" w:rsidRDefault="004D6CCE" w:rsidP="008802DD">
      <w:pPr>
        <w:jc w:val="center"/>
        <w:rPr>
          <w:rFonts w:ascii="Arial" w:hAnsi="Arial" w:cs="Arial"/>
          <w:b/>
          <w:sz w:val="25"/>
          <w:szCs w:val="25"/>
        </w:rPr>
      </w:pPr>
      <w:r w:rsidRPr="008802DD">
        <w:rPr>
          <w:rFonts w:ascii="Arial" w:hAnsi="Arial" w:cs="Arial"/>
          <w:b/>
          <w:sz w:val="25"/>
          <w:szCs w:val="25"/>
        </w:rPr>
        <w:t>C</w:t>
      </w:r>
      <w:r w:rsidR="00476715" w:rsidRPr="008802DD">
        <w:rPr>
          <w:rFonts w:ascii="Arial" w:hAnsi="Arial" w:cs="Arial"/>
          <w:b/>
          <w:sz w:val="25"/>
          <w:szCs w:val="25"/>
        </w:rPr>
        <w:t xml:space="preserve">IRCULAR </w:t>
      </w:r>
      <w:r w:rsidR="00E43960">
        <w:rPr>
          <w:rFonts w:ascii="Arial" w:hAnsi="Arial" w:cs="Arial"/>
          <w:b/>
          <w:sz w:val="25"/>
          <w:szCs w:val="25"/>
        </w:rPr>
        <w:t>EXTER</w:t>
      </w:r>
      <w:r w:rsidR="00E43960" w:rsidRPr="008802DD">
        <w:rPr>
          <w:rFonts w:ascii="Arial" w:hAnsi="Arial" w:cs="Arial"/>
          <w:b/>
          <w:sz w:val="25"/>
          <w:szCs w:val="25"/>
        </w:rPr>
        <w:t>NA</w:t>
      </w:r>
    </w:p>
    <w:p w14:paraId="22C86D91" w14:textId="77777777" w:rsidR="00696DFB" w:rsidRPr="008802DD" w:rsidRDefault="00696DFB" w:rsidP="008802DD">
      <w:pPr>
        <w:jc w:val="center"/>
        <w:rPr>
          <w:rFonts w:ascii="Arial" w:hAnsi="Arial" w:cs="Arial"/>
          <w:b/>
          <w:sz w:val="25"/>
          <w:szCs w:val="25"/>
        </w:rPr>
      </w:pPr>
    </w:p>
    <w:p w14:paraId="2826C24E" w14:textId="0BD915C6" w:rsidR="00E43960" w:rsidRPr="008802DD" w:rsidRDefault="008802DD" w:rsidP="008802DD">
      <w:pPr>
        <w:jc w:val="both"/>
        <w:rPr>
          <w:rFonts w:ascii="Arial" w:hAnsi="Arial" w:cs="Arial"/>
          <w:sz w:val="25"/>
          <w:szCs w:val="25"/>
        </w:rPr>
      </w:pPr>
      <w:r w:rsidRPr="00094064">
        <w:rPr>
          <w:rFonts w:ascii="Arial" w:hAnsi="Arial" w:cs="Arial"/>
          <w:sz w:val="25"/>
          <w:szCs w:val="25"/>
        </w:rPr>
        <w:t xml:space="preserve">Bogotá, D.C., </w:t>
      </w:r>
    </w:p>
    <w:p w14:paraId="2E20F072" w14:textId="77777777" w:rsidR="008802DD" w:rsidRPr="008802DD" w:rsidRDefault="008802DD" w:rsidP="008802DD">
      <w:pPr>
        <w:jc w:val="both"/>
        <w:rPr>
          <w:rFonts w:ascii="Arial" w:hAnsi="Arial" w:cs="Arial"/>
          <w:sz w:val="25"/>
          <w:szCs w:val="25"/>
        </w:rPr>
      </w:pPr>
    </w:p>
    <w:p w14:paraId="61C5AD2D" w14:textId="77777777" w:rsidR="00132646" w:rsidRDefault="00132646" w:rsidP="008802DD">
      <w:pPr>
        <w:ind w:left="1134" w:hanging="1134"/>
        <w:jc w:val="both"/>
        <w:rPr>
          <w:rFonts w:ascii="Arial" w:hAnsi="Arial" w:cs="Arial"/>
          <w:sz w:val="25"/>
          <w:szCs w:val="25"/>
        </w:rPr>
      </w:pPr>
    </w:p>
    <w:p w14:paraId="40B505C7" w14:textId="243B9EC2" w:rsidR="008802DD" w:rsidRPr="008802DD" w:rsidRDefault="008802DD" w:rsidP="008802DD">
      <w:pPr>
        <w:ind w:left="1134" w:hanging="1134"/>
        <w:jc w:val="both"/>
        <w:rPr>
          <w:rFonts w:ascii="Arial" w:hAnsi="Arial" w:cs="Arial"/>
          <w:sz w:val="25"/>
          <w:szCs w:val="25"/>
        </w:rPr>
      </w:pPr>
      <w:r w:rsidRPr="008802DD">
        <w:rPr>
          <w:rFonts w:ascii="Arial" w:hAnsi="Arial" w:cs="Arial"/>
          <w:sz w:val="25"/>
          <w:szCs w:val="25"/>
        </w:rPr>
        <w:t xml:space="preserve">PARA: </w:t>
      </w:r>
      <w:r w:rsidRPr="008802DD">
        <w:rPr>
          <w:rFonts w:ascii="Arial" w:hAnsi="Arial" w:cs="Arial"/>
          <w:sz w:val="25"/>
          <w:szCs w:val="25"/>
        </w:rPr>
        <w:tab/>
      </w:r>
      <w:r w:rsidR="0052584A">
        <w:rPr>
          <w:rFonts w:ascii="Arial" w:hAnsi="Arial" w:cs="Arial"/>
          <w:sz w:val="25"/>
          <w:szCs w:val="25"/>
        </w:rPr>
        <w:t>Bancos, Compañías de Financiamiento y Corporaciones Financieras inscritas</w:t>
      </w:r>
      <w:r w:rsidR="00D0600A">
        <w:rPr>
          <w:rFonts w:ascii="Arial" w:hAnsi="Arial" w:cs="Arial"/>
          <w:sz w:val="25"/>
          <w:szCs w:val="25"/>
        </w:rPr>
        <w:t xml:space="preserve"> en el Fondo de Garantías de Instituciones Financieras</w:t>
      </w:r>
      <w:r w:rsidR="0052584A">
        <w:rPr>
          <w:rFonts w:ascii="Arial" w:hAnsi="Arial" w:cs="Arial"/>
          <w:sz w:val="25"/>
          <w:szCs w:val="25"/>
        </w:rPr>
        <w:t>.</w:t>
      </w:r>
    </w:p>
    <w:p w14:paraId="7BAB7E41" w14:textId="77777777" w:rsidR="008802DD" w:rsidRPr="008802DD" w:rsidRDefault="008802DD" w:rsidP="008802DD">
      <w:pPr>
        <w:jc w:val="both"/>
        <w:rPr>
          <w:rFonts w:ascii="Arial" w:hAnsi="Arial" w:cs="Arial"/>
          <w:sz w:val="25"/>
          <w:szCs w:val="25"/>
        </w:rPr>
      </w:pPr>
    </w:p>
    <w:p w14:paraId="7D177115" w14:textId="77777777" w:rsidR="008802DD" w:rsidRPr="008802DD" w:rsidRDefault="008802DD" w:rsidP="008802DD">
      <w:pPr>
        <w:ind w:left="1134" w:hanging="1134"/>
        <w:jc w:val="both"/>
        <w:rPr>
          <w:rFonts w:ascii="Arial" w:hAnsi="Arial" w:cs="Arial"/>
          <w:sz w:val="25"/>
          <w:szCs w:val="25"/>
        </w:rPr>
      </w:pPr>
      <w:r w:rsidRPr="008802DD">
        <w:rPr>
          <w:rFonts w:ascii="Arial" w:hAnsi="Arial" w:cs="Arial"/>
          <w:sz w:val="25"/>
          <w:szCs w:val="25"/>
        </w:rPr>
        <w:t xml:space="preserve">Asunto: </w:t>
      </w:r>
      <w:r w:rsidRPr="008802DD">
        <w:rPr>
          <w:rFonts w:ascii="Arial" w:hAnsi="Arial" w:cs="Arial"/>
          <w:sz w:val="25"/>
          <w:szCs w:val="25"/>
        </w:rPr>
        <w:tab/>
        <w:t xml:space="preserve">Guía metodológica para obtener la calificación para la determinación de la devolución o cobro adicional de la prima del Seguro de Depósitos y para el cálculo de la prima del Seguro de Depósitos de </w:t>
      </w:r>
      <w:r w:rsidR="00470326">
        <w:rPr>
          <w:rFonts w:ascii="Arial" w:hAnsi="Arial" w:cs="Arial"/>
          <w:sz w:val="25"/>
          <w:szCs w:val="25"/>
        </w:rPr>
        <w:t>los bancos, las compañías de financiamiento y las corporaciones financieras.</w:t>
      </w:r>
    </w:p>
    <w:p w14:paraId="075A1B02" w14:textId="77777777" w:rsidR="008802DD" w:rsidRPr="008802DD" w:rsidRDefault="008802DD" w:rsidP="008802DD">
      <w:pPr>
        <w:jc w:val="both"/>
        <w:rPr>
          <w:rFonts w:ascii="Arial" w:hAnsi="Arial" w:cs="Arial"/>
          <w:sz w:val="25"/>
          <w:szCs w:val="25"/>
        </w:rPr>
      </w:pPr>
    </w:p>
    <w:p w14:paraId="26CAD041" w14:textId="77777777" w:rsidR="008802DD" w:rsidRPr="008802DD" w:rsidRDefault="008802DD" w:rsidP="008802DD">
      <w:pPr>
        <w:pStyle w:val="Prrafodelista"/>
        <w:numPr>
          <w:ilvl w:val="0"/>
          <w:numId w:val="2"/>
        </w:numPr>
        <w:spacing w:after="0" w:line="240" w:lineRule="auto"/>
        <w:jc w:val="both"/>
        <w:rPr>
          <w:rFonts w:ascii="Arial" w:hAnsi="Arial" w:cs="Arial"/>
          <w:b/>
          <w:sz w:val="25"/>
          <w:szCs w:val="25"/>
        </w:rPr>
      </w:pPr>
      <w:r w:rsidRPr="008802DD">
        <w:rPr>
          <w:rFonts w:ascii="Arial" w:hAnsi="Arial" w:cs="Arial"/>
          <w:b/>
          <w:sz w:val="25"/>
          <w:szCs w:val="25"/>
        </w:rPr>
        <w:t xml:space="preserve">OBJETIVO </w:t>
      </w:r>
    </w:p>
    <w:p w14:paraId="4DA40DC0" w14:textId="77777777" w:rsidR="00E26D1F" w:rsidRDefault="00E26D1F" w:rsidP="008802DD">
      <w:pPr>
        <w:ind w:left="426"/>
        <w:jc w:val="both"/>
        <w:rPr>
          <w:rFonts w:ascii="Arial" w:hAnsi="Arial" w:cs="Arial"/>
          <w:sz w:val="25"/>
          <w:szCs w:val="25"/>
        </w:rPr>
      </w:pPr>
    </w:p>
    <w:p w14:paraId="29B06B2C" w14:textId="77777777" w:rsidR="008802DD" w:rsidRPr="008802DD" w:rsidRDefault="008802DD" w:rsidP="008802DD">
      <w:pPr>
        <w:ind w:left="426"/>
        <w:jc w:val="both"/>
        <w:rPr>
          <w:rFonts w:ascii="Arial" w:hAnsi="Arial" w:cs="Arial"/>
          <w:sz w:val="25"/>
          <w:szCs w:val="25"/>
        </w:rPr>
      </w:pPr>
      <w:r w:rsidRPr="008802DD">
        <w:rPr>
          <w:rFonts w:ascii="Arial" w:hAnsi="Arial" w:cs="Arial"/>
          <w:sz w:val="25"/>
          <w:szCs w:val="25"/>
        </w:rPr>
        <w:t>Esta Circular especifica las diferentes cuentas del C</w:t>
      </w:r>
      <w:r w:rsidRPr="008802DD">
        <w:rPr>
          <w:rStyle w:val="nfasis"/>
          <w:rFonts w:ascii="Arial" w:hAnsi="Arial" w:cs="Arial"/>
          <w:bCs/>
          <w:i w:val="0"/>
          <w:iCs w:val="0"/>
          <w:sz w:val="25"/>
          <w:szCs w:val="25"/>
          <w:shd w:val="clear" w:color="auto" w:fill="FFFFFF"/>
        </w:rPr>
        <w:t>atálogo Único de</w:t>
      </w:r>
      <w:r w:rsidR="00094064">
        <w:rPr>
          <w:rStyle w:val="apple-converted-space"/>
          <w:rFonts w:ascii="Arial" w:hAnsi="Arial" w:cs="Arial"/>
          <w:sz w:val="25"/>
          <w:szCs w:val="25"/>
          <w:shd w:val="clear" w:color="auto" w:fill="FFFFFF"/>
        </w:rPr>
        <w:t xml:space="preserve"> </w:t>
      </w:r>
      <w:r w:rsidRPr="008802DD">
        <w:rPr>
          <w:rFonts w:ascii="Arial" w:hAnsi="Arial" w:cs="Arial"/>
          <w:sz w:val="25"/>
          <w:szCs w:val="25"/>
          <w:shd w:val="clear" w:color="auto" w:fill="FFFFFF"/>
        </w:rPr>
        <w:t>Información Financiera (CUIF) con fines de</w:t>
      </w:r>
      <w:r w:rsidR="00575A56">
        <w:rPr>
          <w:rStyle w:val="apple-converted-space"/>
          <w:rFonts w:ascii="Arial" w:hAnsi="Arial" w:cs="Arial"/>
          <w:sz w:val="25"/>
          <w:szCs w:val="25"/>
          <w:shd w:val="clear" w:color="auto" w:fill="FFFFFF"/>
        </w:rPr>
        <w:t xml:space="preserve"> </w:t>
      </w:r>
      <w:r w:rsidRPr="008802DD">
        <w:rPr>
          <w:rStyle w:val="nfasis"/>
          <w:rFonts w:ascii="Arial" w:hAnsi="Arial" w:cs="Arial"/>
          <w:bCs/>
          <w:i w:val="0"/>
          <w:iCs w:val="0"/>
          <w:sz w:val="25"/>
          <w:szCs w:val="25"/>
          <w:shd w:val="clear" w:color="auto" w:fill="FFFFFF"/>
        </w:rPr>
        <w:t>supervisión</w:t>
      </w:r>
      <w:r w:rsidR="00470326">
        <w:rPr>
          <w:rStyle w:val="nfasis"/>
          <w:rFonts w:ascii="Arial" w:hAnsi="Arial" w:cs="Arial"/>
          <w:bCs/>
          <w:i w:val="0"/>
          <w:iCs w:val="0"/>
          <w:sz w:val="25"/>
          <w:szCs w:val="25"/>
          <w:shd w:val="clear" w:color="auto" w:fill="FFFFFF"/>
        </w:rPr>
        <w:t>,</w:t>
      </w:r>
      <w:r w:rsidRPr="008802DD">
        <w:rPr>
          <w:rFonts w:ascii="Arial" w:hAnsi="Arial" w:cs="Arial"/>
          <w:sz w:val="25"/>
          <w:szCs w:val="25"/>
        </w:rPr>
        <w:t xml:space="preserve"> de los formatos</w:t>
      </w:r>
      <w:r w:rsidR="00470326">
        <w:rPr>
          <w:rFonts w:ascii="Arial" w:hAnsi="Arial" w:cs="Arial"/>
          <w:sz w:val="25"/>
          <w:szCs w:val="25"/>
        </w:rPr>
        <w:t xml:space="preserve"> y demás información</w:t>
      </w:r>
      <w:r w:rsidRPr="008802DD">
        <w:rPr>
          <w:rFonts w:ascii="Arial" w:hAnsi="Arial" w:cs="Arial"/>
          <w:sz w:val="25"/>
          <w:szCs w:val="25"/>
        </w:rPr>
        <w:t xml:space="preserve"> </w:t>
      </w:r>
      <w:r w:rsidR="00470326">
        <w:rPr>
          <w:rFonts w:ascii="Arial" w:hAnsi="Arial" w:cs="Arial"/>
          <w:sz w:val="25"/>
          <w:szCs w:val="25"/>
        </w:rPr>
        <w:t>empleada</w:t>
      </w:r>
      <w:r w:rsidRPr="008802DD">
        <w:rPr>
          <w:rFonts w:ascii="Arial" w:hAnsi="Arial" w:cs="Arial"/>
          <w:sz w:val="25"/>
          <w:szCs w:val="25"/>
        </w:rPr>
        <w:t xml:space="preserve"> </w:t>
      </w:r>
      <w:r w:rsidR="00470326">
        <w:rPr>
          <w:rFonts w:ascii="Arial" w:hAnsi="Arial" w:cs="Arial"/>
          <w:sz w:val="25"/>
          <w:szCs w:val="25"/>
        </w:rPr>
        <w:t>en</w:t>
      </w:r>
      <w:r w:rsidR="00470326" w:rsidRPr="008802DD">
        <w:rPr>
          <w:rFonts w:ascii="Arial" w:hAnsi="Arial" w:cs="Arial"/>
          <w:sz w:val="25"/>
          <w:szCs w:val="25"/>
        </w:rPr>
        <w:t xml:space="preserve"> </w:t>
      </w:r>
      <w:r w:rsidRPr="008802DD">
        <w:rPr>
          <w:rFonts w:ascii="Arial" w:hAnsi="Arial" w:cs="Arial"/>
          <w:sz w:val="25"/>
          <w:szCs w:val="25"/>
        </w:rPr>
        <w:t>el cálculo de los indicadores financieros de capital, activos, gestión, exposición del Seguro de Depósitos, rentabilidad</w:t>
      </w:r>
      <w:r w:rsidR="004E4C37">
        <w:rPr>
          <w:rFonts w:ascii="Arial" w:hAnsi="Arial" w:cs="Arial"/>
          <w:sz w:val="25"/>
          <w:szCs w:val="25"/>
        </w:rPr>
        <w:t>,</w:t>
      </w:r>
      <w:r w:rsidRPr="008802DD">
        <w:rPr>
          <w:rFonts w:ascii="Arial" w:hAnsi="Arial" w:cs="Arial"/>
          <w:sz w:val="25"/>
          <w:szCs w:val="25"/>
        </w:rPr>
        <w:t xml:space="preserve"> liquidez</w:t>
      </w:r>
      <w:r w:rsidR="004E4C37">
        <w:rPr>
          <w:rFonts w:ascii="Arial" w:hAnsi="Arial" w:cs="Arial"/>
          <w:sz w:val="25"/>
          <w:szCs w:val="25"/>
        </w:rPr>
        <w:t xml:space="preserve"> y concentración</w:t>
      </w:r>
      <w:r w:rsidRPr="008802DD">
        <w:rPr>
          <w:rFonts w:ascii="Arial" w:hAnsi="Arial" w:cs="Arial"/>
          <w:sz w:val="25"/>
          <w:szCs w:val="25"/>
        </w:rPr>
        <w:t xml:space="preserve"> que conforman la calificación de las entidades inscritas de la referencia, y para el cálculo de la prima del Seguro de Depósitos. </w:t>
      </w:r>
    </w:p>
    <w:p w14:paraId="700C4A74" w14:textId="77777777" w:rsidR="008802DD" w:rsidRPr="008802DD" w:rsidRDefault="008802DD" w:rsidP="008802DD">
      <w:pPr>
        <w:jc w:val="both"/>
        <w:rPr>
          <w:rFonts w:ascii="Arial" w:hAnsi="Arial" w:cs="Arial"/>
          <w:sz w:val="25"/>
          <w:szCs w:val="25"/>
        </w:rPr>
      </w:pPr>
    </w:p>
    <w:p w14:paraId="22912B52" w14:textId="77777777" w:rsidR="008802DD" w:rsidRDefault="008802DD" w:rsidP="008802DD">
      <w:pPr>
        <w:numPr>
          <w:ilvl w:val="0"/>
          <w:numId w:val="2"/>
        </w:numPr>
        <w:rPr>
          <w:rFonts w:ascii="Arial" w:hAnsi="Arial" w:cs="Arial"/>
          <w:b/>
          <w:sz w:val="25"/>
          <w:szCs w:val="25"/>
          <w:lang w:val="es-CO" w:eastAsia="en-US"/>
        </w:rPr>
      </w:pPr>
      <w:r w:rsidRPr="008802DD">
        <w:rPr>
          <w:rFonts w:ascii="Arial" w:hAnsi="Arial" w:cs="Arial"/>
          <w:b/>
          <w:sz w:val="25"/>
          <w:szCs w:val="25"/>
          <w:lang w:val="es-CO" w:eastAsia="en-US"/>
        </w:rPr>
        <w:t>PRIMA A CARGO DE LAS ENTIDADES</w:t>
      </w:r>
    </w:p>
    <w:p w14:paraId="3637A0E9" w14:textId="77777777" w:rsidR="00524715" w:rsidRPr="008802DD" w:rsidRDefault="00524715" w:rsidP="00524715">
      <w:pPr>
        <w:ind w:left="360"/>
        <w:rPr>
          <w:rFonts w:ascii="Arial" w:hAnsi="Arial" w:cs="Arial"/>
          <w:b/>
          <w:sz w:val="25"/>
          <w:szCs w:val="25"/>
          <w:lang w:val="es-CO" w:eastAsia="en-US"/>
        </w:rPr>
      </w:pPr>
    </w:p>
    <w:p w14:paraId="0F24E65C" w14:textId="77777777" w:rsidR="008802DD" w:rsidRPr="008802DD" w:rsidRDefault="008802DD" w:rsidP="008802DD">
      <w:pPr>
        <w:numPr>
          <w:ilvl w:val="1"/>
          <w:numId w:val="2"/>
        </w:numPr>
        <w:jc w:val="both"/>
        <w:rPr>
          <w:rFonts w:ascii="Arial" w:hAnsi="Arial" w:cs="Arial"/>
          <w:b/>
          <w:sz w:val="25"/>
          <w:szCs w:val="25"/>
          <w:lang w:val="es-CO" w:eastAsia="en-US"/>
        </w:rPr>
      </w:pPr>
      <w:r w:rsidRPr="008802DD">
        <w:rPr>
          <w:rFonts w:ascii="Arial" w:hAnsi="Arial" w:cs="Arial"/>
          <w:b/>
          <w:sz w:val="25"/>
          <w:szCs w:val="25"/>
          <w:lang w:val="es-CO" w:eastAsia="en-US"/>
        </w:rPr>
        <w:t>Cálculo de la prima con información completa para los tres meses incluidos en el trimestre de liquidación</w:t>
      </w:r>
    </w:p>
    <w:p w14:paraId="15A6177D" w14:textId="77777777" w:rsidR="006037E5" w:rsidRDefault="006037E5" w:rsidP="001E4A17">
      <w:pPr>
        <w:ind w:left="709"/>
        <w:jc w:val="both"/>
        <w:rPr>
          <w:rFonts w:ascii="Arial" w:hAnsi="Arial" w:cs="Arial"/>
          <w:sz w:val="25"/>
          <w:szCs w:val="25"/>
        </w:rPr>
      </w:pPr>
    </w:p>
    <w:p w14:paraId="1FDFD581" w14:textId="77777777" w:rsidR="006037E5" w:rsidRPr="008802DD" w:rsidRDefault="008802DD" w:rsidP="001E4A17">
      <w:pPr>
        <w:ind w:left="709"/>
        <w:jc w:val="both"/>
        <w:rPr>
          <w:rFonts w:ascii="Arial" w:hAnsi="Arial" w:cs="Arial"/>
          <w:sz w:val="25"/>
          <w:szCs w:val="25"/>
        </w:rPr>
      </w:pPr>
      <w:r w:rsidRPr="008802DD">
        <w:rPr>
          <w:rFonts w:ascii="Arial" w:hAnsi="Arial" w:cs="Arial"/>
          <w:sz w:val="25"/>
          <w:szCs w:val="25"/>
        </w:rPr>
        <w:t>La prima se calculará con base en el promedio simple del saldo mensual de las acreencias amparadas por el Seguro de Depósitos durante el trimestre a liquidar. Las acreencias amparadas se encuentran registradas en las siguientes cuentas del Catálogo Único de Información Financiera con fines de supervisión:</w:t>
      </w:r>
    </w:p>
    <w:p w14:paraId="690E6717" w14:textId="77777777" w:rsidR="008802DD" w:rsidRPr="008802DD" w:rsidRDefault="008802DD" w:rsidP="008802DD">
      <w:pPr>
        <w:pStyle w:val="Prrafodelista"/>
        <w:numPr>
          <w:ilvl w:val="0"/>
          <w:numId w:val="4"/>
        </w:numPr>
        <w:spacing w:after="0" w:line="240" w:lineRule="auto"/>
        <w:ind w:left="1353"/>
        <w:rPr>
          <w:rFonts w:ascii="Arial" w:hAnsi="Arial" w:cs="Arial"/>
          <w:sz w:val="25"/>
          <w:szCs w:val="25"/>
        </w:rPr>
      </w:pPr>
      <w:r w:rsidRPr="008802DD">
        <w:rPr>
          <w:rFonts w:ascii="Arial" w:hAnsi="Arial" w:cs="Arial"/>
          <w:b/>
          <w:sz w:val="25"/>
          <w:szCs w:val="25"/>
        </w:rPr>
        <w:t>Servicios bancarios de recaudo</w:t>
      </w:r>
      <w:r w:rsidRPr="008802DD">
        <w:rPr>
          <w:rFonts w:ascii="Arial" w:hAnsi="Arial" w:cs="Arial"/>
          <w:sz w:val="25"/>
          <w:szCs w:val="25"/>
        </w:rPr>
        <w:t xml:space="preserve">. </w:t>
      </w:r>
      <w:r w:rsidRPr="008802DD">
        <w:rPr>
          <w:rFonts w:ascii="Arial" w:hAnsi="Arial" w:cs="Arial"/>
          <w:sz w:val="25"/>
          <w:szCs w:val="25"/>
        </w:rPr>
        <w:tab/>
        <w:t>211800</w:t>
      </w:r>
    </w:p>
    <w:p w14:paraId="6895C428" w14:textId="77777777" w:rsidR="008802DD" w:rsidRPr="008802DD" w:rsidRDefault="008802DD" w:rsidP="008802DD">
      <w:pPr>
        <w:pStyle w:val="Prrafodelista"/>
        <w:numPr>
          <w:ilvl w:val="0"/>
          <w:numId w:val="4"/>
        </w:numPr>
        <w:spacing w:after="0" w:line="240" w:lineRule="auto"/>
        <w:ind w:left="1353"/>
        <w:rPr>
          <w:rFonts w:ascii="Arial" w:hAnsi="Arial" w:cs="Arial"/>
          <w:sz w:val="25"/>
          <w:szCs w:val="25"/>
        </w:rPr>
      </w:pPr>
      <w:r w:rsidRPr="008802DD">
        <w:rPr>
          <w:rFonts w:ascii="Arial" w:hAnsi="Arial" w:cs="Arial"/>
          <w:b/>
          <w:sz w:val="25"/>
          <w:szCs w:val="25"/>
        </w:rPr>
        <w:t>Depósitos especiales</w:t>
      </w:r>
      <w:r w:rsidRPr="008802DD">
        <w:rPr>
          <w:rFonts w:ascii="Arial" w:hAnsi="Arial" w:cs="Arial"/>
          <w:sz w:val="25"/>
          <w:szCs w:val="25"/>
        </w:rPr>
        <w:t>.</w:t>
      </w:r>
      <w:r w:rsidRPr="008802DD">
        <w:rPr>
          <w:rFonts w:ascii="Arial" w:hAnsi="Arial" w:cs="Arial"/>
          <w:sz w:val="25"/>
          <w:szCs w:val="25"/>
        </w:rPr>
        <w:tab/>
      </w:r>
      <w:r w:rsidRPr="008802DD">
        <w:rPr>
          <w:rFonts w:ascii="Arial" w:hAnsi="Arial" w:cs="Arial"/>
          <w:sz w:val="25"/>
          <w:szCs w:val="25"/>
        </w:rPr>
        <w:tab/>
      </w:r>
      <w:r w:rsidRPr="008802DD">
        <w:rPr>
          <w:rFonts w:ascii="Arial" w:hAnsi="Arial" w:cs="Arial"/>
          <w:sz w:val="25"/>
          <w:szCs w:val="25"/>
        </w:rPr>
        <w:tab/>
        <w:t>211600</w:t>
      </w:r>
    </w:p>
    <w:p w14:paraId="54931476" w14:textId="77777777" w:rsidR="008802DD" w:rsidRPr="008802DD" w:rsidRDefault="008802DD" w:rsidP="008802DD">
      <w:pPr>
        <w:pStyle w:val="Prrafodelista"/>
        <w:numPr>
          <w:ilvl w:val="0"/>
          <w:numId w:val="4"/>
        </w:numPr>
        <w:spacing w:after="0" w:line="240" w:lineRule="auto"/>
        <w:ind w:left="1353"/>
        <w:rPr>
          <w:rFonts w:ascii="Arial" w:hAnsi="Arial" w:cs="Arial"/>
          <w:sz w:val="25"/>
          <w:szCs w:val="25"/>
        </w:rPr>
      </w:pPr>
      <w:r w:rsidRPr="008802DD">
        <w:rPr>
          <w:rFonts w:ascii="Arial" w:hAnsi="Arial" w:cs="Arial"/>
          <w:b/>
          <w:sz w:val="25"/>
          <w:szCs w:val="25"/>
        </w:rPr>
        <w:t>Cuentas de ahorro especial</w:t>
      </w:r>
      <w:r w:rsidRPr="008802DD">
        <w:rPr>
          <w:rFonts w:ascii="Arial" w:hAnsi="Arial" w:cs="Arial"/>
          <w:sz w:val="25"/>
          <w:szCs w:val="25"/>
        </w:rPr>
        <w:t>.</w:t>
      </w:r>
      <w:r w:rsidRPr="008802DD">
        <w:rPr>
          <w:rFonts w:ascii="Arial" w:hAnsi="Arial" w:cs="Arial"/>
          <w:sz w:val="25"/>
          <w:szCs w:val="25"/>
        </w:rPr>
        <w:tab/>
      </w:r>
      <w:r w:rsidRPr="008802DD">
        <w:rPr>
          <w:rFonts w:ascii="Arial" w:hAnsi="Arial" w:cs="Arial"/>
          <w:sz w:val="25"/>
          <w:szCs w:val="25"/>
        </w:rPr>
        <w:tab/>
        <w:t>210900</w:t>
      </w:r>
    </w:p>
    <w:p w14:paraId="2984DC38" w14:textId="77777777" w:rsidR="008802DD" w:rsidRPr="008802DD" w:rsidRDefault="008802DD" w:rsidP="008802DD">
      <w:pPr>
        <w:pStyle w:val="Prrafodelista"/>
        <w:numPr>
          <w:ilvl w:val="0"/>
          <w:numId w:val="4"/>
        </w:numPr>
        <w:spacing w:after="0" w:line="240" w:lineRule="auto"/>
        <w:ind w:left="1353"/>
        <w:rPr>
          <w:rFonts w:ascii="Arial" w:hAnsi="Arial" w:cs="Arial"/>
          <w:sz w:val="25"/>
          <w:szCs w:val="25"/>
        </w:rPr>
      </w:pPr>
      <w:r w:rsidRPr="008802DD">
        <w:rPr>
          <w:rFonts w:ascii="Arial" w:hAnsi="Arial" w:cs="Arial"/>
          <w:b/>
          <w:sz w:val="25"/>
          <w:szCs w:val="25"/>
        </w:rPr>
        <w:t>Depósitos de ahorro</w:t>
      </w:r>
      <w:r w:rsidRPr="008802DD">
        <w:rPr>
          <w:rFonts w:ascii="Arial" w:hAnsi="Arial" w:cs="Arial"/>
          <w:sz w:val="25"/>
          <w:szCs w:val="25"/>
        </w:rPr>
        <w:t>.</w:t>
      </w:r>
      <w:r w:rsidRPr="008802DD">
        <w:rPr>
          <w:rFonts w:ascii="Arial" w:hAnsi="Arial" w:cs="Arial"/>
          <w:sz w:val="25"/>
          <w:szCs w:val="25"/>
        </w:rPr>
        <w:tab/>
      </w:r>
      <w:r w:rsidRPr="008802DD">
        <w:rPr>
          <w:rFonts w:ascii="Arial" w:hAnsi="Arial" w:cs="Arial"/>
          <w:sz w:val="25"/>
          <w:szCs w:val="25"/>
        </w:rPr>
        <w:tab/>
      </w:r>
      <w:r w:rsidRPr="008802DD">
        <w:rPr>
          <w:rFonts w:ascii="Arial" w:hAnsi="Arial" w:cs="Arial"/>
          <w:sz w:val="25"/>
          <w:szCs w:val="25"/>
        </w:rPr>
        <w:tab/>
        <w:t>210800</w:t>
      </w:r>
    </w:p>
    <w:p w14:paraId="690112A7" w14:textId="77777777" w:rsidR="008802DD" w:rsidRPr="008802DD" w:rsidRDefault="008802DD" w:rsidP="008802DD">
      <w:pPr>
        <w:pStyle w:val="Prrafodelista"/>
        <w:numPr>
          <w:ilvl w:val="0"/>
          <w:numId w:val="4"/>
        </w:numPr>
        <w:spacing w:after="0" w:line="240" w:lineRule="auto"/>
        <w:ind w:left="1353"/>
        <w:rPr>
          <w:rFonts w:ascii="Arial" w:hAnsi="Arial" w:cs="Arial"/>
          <w:sz w:val="25"/>
          <w:szCs w:val="25"/>
        </w:rPr>
      </w:pPr>
      <w:r w:rsidRPr="008802DD">
        <w:rPr>
          <w:rFonts w:ascii="Arial" w:hAnsi="Arial" w:cs="Arial"/>
          <w:b/>
          <w:sz w:val="25"/>
          <w:szCs w:val="25"/>
        </w:rPr>
        <w:t>Certificados de depósito a término</w:t>
      </w:r>
      <w:r w:rsidRPr="008802DD">
        <w:rPr>
          <w:rFonts w:ascii="Arial" w:hAnsi="Arial" w:cs="Arial"/>
          <w:sz w:val="25"/>
          <w:szCs w:val="25"/>
        </w:rPr>
        <w:t>.</w:t>
      </w:r>
      <w:r w:rsidRPr="008802DD">
        <w:rPr>
          <w:rFonts w:ascii="Arial" w:hAnsi="Arial" w:cs="Arial"/>
          <w:sz w:val="25"/>
          <w:szCs w:val="25"/>
        </w:rPr>
        <w:tab/>
        <w:t>210700</w:t>
      </w:r>
    </w:p>
    <w:p w14:paraId="6935875A" w14:textId="77777777" w:rsidR="008802DD" w:rsidRPr="008802DD" w:rsidRDefault="008802DD" w:rsidP="008802DD">
      <w:pPr>
        <w:pStyle w:val="Prrafodelista"/>
        <w:numPr>
          <w:ilvl w:val="0"/>
          <w:numId w:val="4"/>
        </w:numPr>
        <w:spacing w:after="0" w:line="240" w:lineRule="auto"/>
        <w:ind w:left="1353"/>
        <w:rPr>
          <w:rFonts w:ascii="Arial" w:hAnsi="Arial" w:cs="Arial"/>
          <w:sz w:val="25"/>
          <w:szCs w:val="25"/>
        </w:rPr>
      </w:pPr>
      <w:r w:rsidRPr="008802DD">
        <w:rPr>
          <w:rFonts w:ascii="Arial" w:hAnsi="Arial" w:cs="Arial"/>
          <w:b/>
          <w:sz w:val="25"/>
          <w:szCs w:val="25"/>
        </w:rPr>
        <w:t>Depósitos en cuenta corriente</w:t>
      </w:r>
      <w:r w:rsidRPr="008802DD">
        <w:rPr>
          <w:rFonts w:ascii="Arial" w:hAnsi="Arial" w:cs="Arial"/>
          <w:sz w:val="25"/>
          <w:szCs w:val="25"/>
        </w:rPr>
        <w:t>.</w:t>
      </w:r>
      <w:r w:rsidRPr="008802DD">
        <w:rPr>
          <w:rFonts w:ascii="Arial" w:hAnsi="Arial" w:cs="Arial"/>
          <w:sz w:val="25"/>
          <w:szCs w:val="25"/>
        </w:rPr>
        <w:tab/>
        <w:t>210500</w:t>
      </w:r>
    </w:p>
    <w:p w14:paraId="45967D1C" w14:textId="77777777" w:rsidR="008802DD" w:rsidRPr="008802DD" w:rsidRDefault="008802DD" w:rsidP="008802DD">
      <w:pPr>
        <w:pStyle w:val="Prrafodelista"/>
        <w:numPr>
          <w:ilvl w:val="0"/>
          <w:numId w:val="4"/>
        </w:numPr>
        <w:spacing w:after="0" w:line="240" w:lineRule="auto"/>
        <w:ind w:left="1353"/>
        <w:rPr>
          <w:rFonts w:ascii="Arial" w:hAnsi="Arial" w:cs="Arial"/>
          <w:sz w:val="25"/>
          <w:szCs w:val="25"/>
        </w:rPr>
      </w:pPr>
      <w:r w:rsidRPr="008802DD">
        <w:rPr>
          <w:rFonts w:ascii="Arial" w:hAnsi="Arial" w:cs="Arial"/>
          <w:b/>
          <w:sz w:val="25"/>
          <w:szCs w:val="25"/>
        </w:rPr>
        <w:t>Bonos hipotecarios</w:t>
      </w:r>
      <w:r w:rsidRPr="008802DD">
        <w:rPr>
          <w:rFonts w:ascii="Arial" w:hAnsi="Arial" w:cs="Arial"/>
          <w:sz w:val="25"/>
          <w:szCs w:val="25"/>
        </w:rPr>
        <w:t>.</w:t>
      </w:r>
      <w:r w:rsidRPr="008802DD">
        <w:rPr>
          <w:rFonts w:ascii="Arial" w:hAnsi="Arial" w:cs="Arial"/>
          <w:sz w:val="25"/>
          <w:szCs w:val="25"/>
        </w:rPr>
        <w:tab/>
      </w:r>
      <w:r w:rsidRPr="008802DD">
        <w:rPr>
          <w:rFonts w:ascii="Arial" w:hAnsi="Arial" w:cs="Arial"/>
          <w:sz w:val="25"/>
          <w:szCs w:val="25"/>
        </w:rPr>
        <w:tab/>
      </w:r>
      <w:r w:rsidRPr="008802DD">
        <w:rPr>
          <w:rFonts w:ascii="Arial" w:hAnsi="Arial" w:cs="Arial"/>
          <w:sz w:val="25"/>
          <w:szCs w:val="25"/>
        </w:rPr>
        <w:tab/>
        <w:t>213011 + 224511</w:t>
      </w:r>
    </w:p>
    <w:p w14:paraId="394A66DA" w14:textId="77777777" w:rsidR="008802DD" w:rsidRPr="008802DD" w:rsidRDefault="008802DD" w:rsidP="008802DD">
      <w:pPr>
        <w:pStyle w:val="Prrafodelista"/>
        <w:numPr>
          <w:ilvl w:val="0"/>
          <w:numId w:val="4"/>
        </w:numPr>
        <w:spacing w:after="0" w:line="240" w:lineRule="auto"/>
        <w:ind w:left="1353"/>
        <w:rPr>
          <w:rFonts w:ascii="Arial" w:hAnsi="Arial" w:cs="Arial"/>
          <w:sz w:val="25"/>
          <w:szCs w:val="25"/>
        </w:rPr>
      </w:pPr>
      <w:r w:rsidRPr="008802DD">
        <w:rPr>
          <w:rFonts w:ascii="Arial" w:hAnsi="Arial" w:cs="Arial"/>
          <w:b/>
          <w:sz w:val="25"/>
          <w:szCs w:val="25"/>
        </w:rPr>
        <w:t>Depósitos simples</w:t>
      </w:r>
      <w:r w:rsidRPr="008802DD">
        <w:rPr>
          <w:rFonts w:ascii="Arial" w:hAnsi="Arial" w:cs="Arial"/>
          <w:sz w:val="25"/>
          <w:szCs w:val="25"/>
        </w:rPr>
        <w:t>.</w:t>
      </w:r>
      <w:r w:rsidRPr="008802DD">
        <w:rPr>
          <w:rFonts w:ascii="Arial" w:hAnsi="Arial" w:cs="Arial"/>
          <w:sz w:val="25"/>
          <w:szCs w:val="25"/>
        </w:rPr>
        <w:tab/>
      </w:r>
      <w:r w:rsidRPr="008802DD">
        <w:rPr>
          <w:rFonts w:ascii="Arial" w:hAnsi="Arial" w:cs="Arial"/>
          <w:sz w:val="25"/>
          <w:szCs w:val="25"/>
        </w:rPr>
        <w:tab/>
      </w:r>
      <w:r w:rsidRPr="008802DD">
        <w:rPr>
          <w:rFonts w:ascii="Arial" w:hAnsi="Arial" w:cs="Arial"/>
          <w:sz w:val="25"/>
          <w:szCs w:val="25"/>
        </w:rPr>
        <w:tab/>
        <w:t>210600</w:t>
      </w:r>
    </w:p>
    <w:p w14:paraId="76587E34" w14:textId="5D177271" w:rsidR="008802DD" w:rsidRPr="008802DD" w:rsidRDefault="008802DD" w:rsidP="008802DD">
      <w:pPr>
        <w:pStyle w:val="Prrafodelista"/>
        <w:numPr>
          <w:ilvl w:val="0"/>
          <w:numId w:val="4"/>
        </w:numPr>
        <w:spacing w:after="0" w:line="240" w:lineRule="auto"/>
        <w:ind w:left="1353"/>
        <w:rPr>
          <w:rFonts w:ascii="Arial" w:hAnsi="Arial" w:cs="Arial"/>
          <w:sz w:val="25"/>
          <w:szCs w:val="25"/>
        </w:rPr>
      </w:pPr>
      <w:r w:rsidRPr="008802DD">
        <w:rPr>
          <w:rFonts w:ascii="Arial" w:hAnsi="Arial" w:cs="Arial"/>
          <w:b/>
          <w:sz w:val="25"/>
          <w:szCs w:val="25"/>
        </w:rPr>
        <w:lastRenderedPageBreak/>
        <w:t>Depósitos</w:t>
      </w:r>
      <w:r w:rsidR="00D951F4">
        <w:rPr>
          <w:rFonts w:ascii="Arial" w:hAnsi="Arial" w:cs="Arial"/>
          <w:sz w:val="25"/>
          <w:szCs w:val="25"/>
        </w:rPr>
        <w:t xml:space="preserve"> </w:t>
      </w:r>
      <w:bookmarkStart w:id="0" w:name="_Hlk50049402"/>
      <w:r w:rsidR="00D951F4" w:rsidRPr="00E43960">
        <w:rPr>
          <w:rFonts w:ascii="Arial" w:hAnsi="Arial" w:cs="Arial"/>
          <w:b/>
          <w:bCs/>
          <w:sz w:val="25"/>
          <w:szCs w:val="25"/>
          <w:u w:val="single"/>
        </w:rPr>
        <w:t>de bajo monto y depósitos ordinarios</w:t>
      </w:r>
      <w:r w:rsidR="001404DA" w:rsidRPr="00E43960">
        <w:rPr>
          <w:rFonts w:ascii="Arial" w:hAnsi="Arial" w:cs="Arial"/>
          <w:b/>
          <w:bCs/>
          <w:sz w:val="25"/>
          <w:szCs w:val="25"/>
          <w:u w:val="single"/>
        </w:rPr>
        <w:t xml:space="preserve"> </w:t>
      </w:r>
      <w:bookmarkEnd w:id="0"/>
      <w:r w:rsidR="001404DA" w:rsidRPr="00E43960">
        <w:rPr>
          <w:rFonts w:ascii="Arial" w:hAnsi="Arial" w:cs="Arial"/>
          <w:b/>
          <w:bCs/>
          <w:sz w:val="25"/>
          <w:szCs w:val="25"/>
          <w:u w:val="single"/>
        </w:rPr>
        <w:t>(Depósitos electrónicos)</w:t>
      </w:r>
      <w:r w:rsidRPr="008802DD">
        <w:rPr>
          <w:rFonts w:ascii="Arial" w:hAnsi="Arial" w:cs="Arial"/>
          <w:sz w:val="25"/>
          <w:szCs w:val="25"/>
        </w:rPr>
        <w:tab/>
        <w:t>212000</w:t>
      </w:r>
    </w:p>
    <w:p w14:paraId="3BEE75E5" w14:textId="77777777" w:rsidR="008802DD" w:rsidRPr="008802DD" w:rsidRDefault="008802DD" w:rsidP="008802DD">
      <w:pPr>
        <w:pStyle w:val="Prrafodelista"/>
        <w:spacing w:after="0" w:line="240" w:lineRule="auto"/>
        <w:rPr>
          <w:rFonts w:ascii="Arial" w:hAnsi="Arial" w:cs="Arial"/>
          <w:sz w:val="25"/>
          <w:szCs w:val="25"/>
        </w:rPr>
      </w:pPr>
    </w:p>
    <w:p w14:paraId="462DA656" w14:textId="77777777" w:rsidR="008802DD" w:rsidRDefault="008802DD" w:rsidP="001E4A17">
      <w:pPr>
        <w:ind w:left="709"/>
        <w:jc w:val="both"/>
        <w:rPr>
          <w:rFonts w:ascii="Arial" w:hAnsi="Arial" w:cs="Arial"/>
          <w:sz w:val="25"/>
          <w:szCs w:val="25"/>
        </w:rPr>
      </w:pPr>
      <w:r w:rsidRPr="008802DD">
        <w:rPr>
          <w:rFonts w:ascii="Arial" w:hAnsi="Arial" w:cs="Arial"/>
          <w:sz w:val="25"/>
          <w:szCs w:val="25"/>
        </w:rPr>
        <w:t>Las entidades deberán sumar los saldos de las cuentas enumeradas arriba para los tres meses incluidos en el trimestre de liquidación y deberán dividir el resultado de dicho cálculo por tres (3). Posteriormente deberán multiplicar el resultado por el porcentaje establecido en la Resolución vigente del Seguro de Depósitos.</w:t>
      </w:r>
    </w:p>
    <w:p w14:paraId="60530A68" w14:textId="77777777" w:rsidR="006037E5" w:rsidRPr="008802DD" w:rsidRDefault="006037E5" w:rsidP="001E4A17">
      <w:pPr>
        <w:ind w:left="709"/>
        <w:jc w:val="both"/>
        <w:rPr>
          <w:rFonts w:ascii="Arial" w:hAnsi="Arial" w:cs="Arial"/>
          <w:sz w:val="25"/>
          <w:szCs w:val="25"/>
        </w:rPr>
      </w:pPr>
    </w:p>
    <w:p w14:paraId="6CC31776" w14:textId="77777777" w:rsidR="008802DD" w:rsidRPr="006037E5" w:rsidRDefault="008802DD" w:rsidP="006037E5">
      <w:pPr>
        <w:pStyle w:val="Prrafodelista"/>
        <w:numPr>
          <w:ilvl w:val="1"/>
          <w:numId w:val="2"/>
        </w:numPr>
        <w:rPr>
          <w:rFonts w:ascii="Arial" w:hAnsi="Arial" w:cs="Arial"/>
          <w:b/>
          <w:sz w:val="25"/>
          <w:szCs w:val="25"/>
        </w:rPr>
      </w:pPr>
      <w:r w:rsidRPr="006037E5">
        <w:rPr>
          <w:rFonts w:ascii="Arial" w:hAnsi="Arial" w:cs="Arial"/>
          <w:b/>
          <w:sz w:val="25"/>
          <w:szCs w:val="25"/>
        </w:rPr>
        <w:t>Entidades nuevas</w:t>
      </w:r>
    </w:p>
    <w:p w14:paraId="13680859" w14:textId="77777777" w:rsidR="008802DD" w:rsidRPr="008802DD" w:rsidRDefault="008802DD" w:rsidP="001E4A17">
      <w:pPr>
        <w:ind w:left="709"/>
        <w:jc w:val="both"/>
        <w:rPr>
          <w:rFonts w:ascii="Arial" w:hAnsi="Arial" w:cs="Arial"/>
          <w:sz w:val="25"/>
          <w:szCs w:val="25"/>
        </w:rPr>
      </w:pPr>
      <w:r w:rsidRPr="008802DD">
        <w:rPr>
          <w:rFonts w:ascii="Arial" w:hAnsi="Arial" w:cs="Arial"/>
          <w:sz w:val="25"/>
          <w:szCs w:val="25"/>
        </w:rPr>
        <w:t>En caso que una entidad nueva no haya transmitido tres balances a la Superintendencia Financiera de Colombia para los meses incluidos en el trimestre de liquidación, la sumatoria de los saldos de las acreencias amparadas (descrito en el numeral 2.1.) se deberá dividir por el número de balances transmitidos.</w:t>
      </w:r>
    </w:p>
    <w:p w14:paraId="19150930" w14:textId="77777777" w:rsidR="008802DD" w:rsidRPr="008802DD" w:rsidRDefault="008802DD" w:rsidP="008802DD">
      <w:pPr>
        <w:jc w:val="both"/>
        <w:rPr>
          <w:rFonts w:ascii="Arial" w:hAnsi="Arial" w:cs="Arial"/>
          <w:sz w:val="25"/>
          <w:szCs w:val="25"/>
        </w:rPr>
      </w:pPr>
    </w:p>
    <w:p w14:paraId="570E3B85" w14:textId="77777777" w:rsidR="008802DD" w:rsidRPr="008802DD" w:rsidRDefault="008802DD" w:rsidP="008802DD">
      <w:pPr>
        <w:numPr>
          <w:ilvl w:val="1"/>
          <w:numId w:val="2"/>
        </w:numPr>
        <w:jc w:val="both"/>
        <w:rPr>
          <w:rFonts w:ascii="Arial" w:hAnsi="Arial" w:cs="Arial"/>
          <w:b/>
          <w:sz w:val="25"/>
          <w:szCs w:val="25"/>
          <w:lang w:val="es-CO" w:eastAsia="en-US"/>
        </w:rPr>
      </w:pPr>
      <w:r w:rsidRPr="008802DD">
        <w:rPr>
          <w:rFonts w:ascii="Arial" w:hAnsi="Arial" w:cs="Arial"/>
          <w:b/>
          <w:sz w:val="25"/>
          <w:szCs w:val="25"/>
          <w:lang w:val="es-CO" w:eastAsia="en-US"/>
        </w:rPr>
        <w:t>Entidades que terminen su existencia legal durante el trimestre a liquidar</w:t>
      </w:r>
    </w:p>
    <w:p w14:paraId="580E4949" w14:textId="77777777" w:rsidR="006037E5" w:rsidRDefault="006037E5" w:rsidP="001E4A17">
      <w:pPr>
        <w:ind w:left="709"/>
        <w:jc w:val="both"/>
        <w:rPr>
          <w:rFonts w:ascii="Arial" w:hAnsi="Arial" w:cs="Arial"/>
          <w:sz w:val="25"/>
          <w:szCs w:val="25"/>
        </w:rPr>
      </w:pPr>
    </w:p>
    <w:p w14:paraId="371E6BE8" w14:textId="77777777" w:rsidR="008802DD" w:rsidRPr="008802DD" w:rsidRDefault="008802DD" w:rsidP="001E4A17">
      <w:pPr>
        <w:ind w:left="709"/>
        <w:jc w:val="both"/>
        <w:rPr>
          <w:rFonts w:ascii="Arial" w:hAnsi="Arial" w:cs="Arial"/>
          <w:sz w:val="25"/>
          <w:szCs w:val="25"/>
        </w:rPr>
      </w:pPr>
      <w:r w:rsidRPr="008802DD">
        <w:rPr>
          <w:rFonts w:ascii="Arial" w:hAnsi="Arial" w:cs="Arial"/>
          <w:sz w:val="25"/>
          <w:szCs w:val="25"/>
        </w:rPr>
        <w:t>En caso que una entidad deje de transmitir balances a la Superintendencia Financiera de Colombia en virtud de la terminación de su existencia legal, la prima a su cargo se liquidará de la siguiente manera:</w:t>
      </w:r>
    </w:p>
    <w:p w14:paraId="251E7CD3" w14:textId="77777777" w:rsidR="008802DD" w:rsidRPr="008802DD" w:rsidRDefault="008802DD" w:rsidP="008802DD">
      <w:pPr>
        <w:jc w:val="both"/>
        <w:rPr>
          <w:rFonts w:ascii="Arial" w:hAnsi="Arial" w:cs="Arial"/>
          <w:sz w:val="25"/>
          <w:szCs w:val="25"/>
        </w:rPr>
      </w:pPr>
    </w:p>
    <w:p w14:paraId="1DA76074" w14:textId="77777777" w:rsidR="008802DD" w:rsidRPr="008802DD" w:rsidRDefault="008802DD" w:rsidP="001E4A17">
      <w:pPr>
        <w:pStyle w:val="Prrafodelista"/>
        <w:numPr>
          <w:ilvl w:val="0"/>
          <w:numId w:val="4"/>
        </w:numPr>
        <w:spacing w:after="0" w:line="240" w:lineRule="auto"/>
        <w:ind w:left="709"/>
        <w:jc w:val="both"/>
        <w:rPr>
          <w:rFonts w:ascii="Arial" w:hAnsi="Arial" w:cs="Arial"/>
          <w:sz w:val="25"/>
          <w:szCs w:val="25"/>
        </w:rPr>
      </w:pPr>
      <w:r w:rsidRPr="008802DD">
        <w:rPr>
          <w:rFonts w:ascii="Arial" w:hAnsi="Arial" w:cs="Arial"/>
          <w:sz w:val="25"/>
          <w:szCs w:val="25"/>
        </w:rPr>
        <w:t>Si la terminación se efectúa antes del cierre del segundo mes del trimestre a liquidar, la entidad tomará el saldo de las acreencias amparadas del último balance transmitido a la Superintendencia Financiera de Colombia y aplicará el porcentaje establecido en la Resolución vigente del Seguro de Depósitos de manera proporcional al tiempo en que la entidad se mantuvo en funcionamiento durante el trimestre.</w:t>
      </w:r>
    </w:p>
    <w:p w14:paraId="392C05A7" w14:textId="77777777" w:rsidR="008802DD" w:rsidRPr="008802DD" w:rsidRDefault="008802DD" w:rsidP="001E4A17">
      <w:pPr>
        <w:pStyle w:val="Prrafodelista"/>
        <w:spacing w:after="0" w:line="240" w:lineRule="auto"/>
        <w:ind w:left="709"/>
        <w:jc w:val="both"/>
        <w:rPr>
          <w:rFonts w:ascii="Arial" w:hAnsi="Arial" w:cs="Arial"/>
          <w:sz w:val="25"/>
          <w:szCs w:val="25"/>
        </w:rPr>
      </w:pPr>
    </w:p>
    <w:p w14:paraId="68E1A464" w14:textId="77777777" w:rsidR="008802DD" w:rsidRPr="008802DD" w:rsidRDefault="008802DD" w:rsidP="001E4A17">
      <w:pPr>
        <w:pStyle w:val="Prrafodelista"/>
        <w:numPr>
          <w:ilvl w:val="0"/>
          <w:numId w:val="4"/>
        </w:numPr>
        <w:spacing w:after="0" w:line="240" w:lineRule="auto"/>
        <w:ind w:left="709"/>
        <w:jc w:val="both"/>
        <w:rPr>
          <w:rFonts w:ascii="Arial" w:hAnsi="Arial" w:cs="Arial"/>
          <w:sz w:val="25"/>
          <w:szCs w:val="25"/>
        </w:rPr>
      </w:pPr>
      <w:r w:rsidRPr="008802DD">
        <w:rPr>
          <w:rFonts w:ascii="Arial" w:hAnsi="Arial" w:cs="Arial"/>
          <w:sz w:val="25"/>
          <w:szCs w:val="25"/>
        </w:rPr>
        <w:t>Si la terminación se efectúa durante el tercer mes del trimestre a liquidar, la entidad deberá sumar los saldos de las acreencias amparadas de los dos balances transmitidos a la Superintendencia Financiera de Colombia, dividir este resultado por dos (2) y aplicar el porcentaje establecido en la Resolución vigente del Seguro de Depósitos de manera proporcional al tiempo en que la entidad se mantuvo en funcionamiento durante el trimestre.</w:t>
      </w:r>
    </w:p>
    <w:p w14:paraId="336C9088" w14:textId="77777777" w:rsidR="008802DD" w:rsidRPr="008802DD" w:rsidRDefault="008802DD" w:rsidP="008802DD">
      <w:pPr>
        <w:jc w:val="both"/>
        <w:rPr>
          <w:rFonts w:ascii="Arial" w:hAnsi="Arial" w:cs="Arial"/>
          <w:sz w:val="25"/>
          <w:szCs w:val="25"/>
        </w:rPr>
      </w:pPr>
    </w:p>
    <w:p w14:paraId="66F18313" w14:textId="77777777" w:rsidR="008802DD" w:rsidRPr="008802DD" w:rsidRDefault="008802DD" w:rsidP="008802DD">
      <w:pPr>
        <w:numPr>
          <w:ilvl w:val="0"/>
          <w:numId w:val="2"/>
        </w:numPr>
        <w:jc w:val="both"/>
        <w:rPr>
          <w:rFonts w:ascii="Arial" w:hAnsi="Arial" w:cs="Arial"/>
          <w:b/>
          <w:sz w:val="25"/>
          <w:szCs w:val="25"/>
          <w:lang w:val="es-CO" w:eastAsia="en-US"/>
        </w:rPr>
      </w:pPr>
      <w:r w:rsidRPr="008802DD">
        <w:rPr>
          <w:rFonts w:ascii="Arial" w:hAnsi="Arial" w:cs="Arial"/>
          <w:b/>
          <w:sz w:val="25"/>
          <w:szCs w:val="25"/>
        </w:rPr>
        <w:t>DEFINICIONES GENERALES PARA ESTABLECIMIENTOS DE CRÉDITO</w:t>
      </w:r>
      <w:r w:rsidRPr="008802DD">
        <w:rPr>
          <w:rStyle w:val="Refdenotaalpie"/>
          <w:rFonts w:ascii="Arial" w:hAnsi="Arial" w:cs="Arial"/>
          <w:sz w:val="25"/>
          <w:szCs w:val="25"/>
        </w:rPr>
        <w:footnoteReference w:id="1"/>
      </w:r>
    </w:p>
    <w:p w14:paraId="5A3E6FA7" w14:textId="77777777" w:rsidR="008802DD" w:rsidRPr="008802DD" w:rsidRDefault="008802DD" w:rsidP="008802DD">
      <w:pPr>
        <w:ind w:left="360"/>
        <w:rPr>
          <w:rFonts w:ascii="Arial" w:hAnsi="Arial" w:cs="Arial"/>
          <w:b/>
          <w:sz w:val="25"/>
          <w:szCs w:val="25"/>
          <w:lang w:val="es-CO" w:eastAsia="en-US"/>
        </w:rPr>
      </w:pPr>
    </w:p>
    <w:p w14:paraId="284E4E42" w14:textId="77777777" w:rsidR="008802DD" w:rsidRPr="008802DD" w:rsidRDefault="008802DD" w:rsidP="008802DD">
      <w:pPr>
        <w:ind w:left="426"/>
        <w:jc w:val="both"/>
        <w:rPr>
          <w:rFonts w:ascii="Arial" w:hAnsi="Arial" w:cs="Arial"/>
          <w:b/>
          <w:sz w:val="25"/>
          <w:szCs w:val="25"/>
        </w:rPr>
      </w:pPr>
      <w:r w:rsidRPr="008802DD">
        <w:rPr>
          <w:rFonts w:ascii="Arial" w:hAnsi="Arial" w:cs="Arial"/>
          <w:sz w:val="25"/>
          <w:szCs w:val="25"/>
        </w:rPr>
        <w:t xml:space="preserve">De acuerdo con la Resolución vigente del Seguro de Depósitos, expedida por la Junta Directiva del Fondo, los indicadores financieros sobre los cuales se </w:t>
      </w:r>
      <w:r w:rsidRPr="008802DD">
        <w:rPr>
          <w:rFonts w:ascii="Arial" w:hAnsi="Arial" w:cs="Arial"/>
          <w:sz w:val="25"/>
          <w:szCs w:val="25"/>
        </w:rPr>
        <w:lastRenderedPageBreak/>
        <w:t xml:space="preserve">determina la calificación de los establecimientos bancarios, las corporaciones financieras </w:t>
      </w:r>
      <w:r w:rsidR="004E4C37">
        <w:rPr>
          <w:rFonts w:ascii="Arial" w:hAnsi="Arial" w:cs="Arial"/>
          <w:sz w:val="25"/>
          <w:szCs w:val="25"/>
        </w:rPr>
        <w:t xml:space="preserve">y </w:t>
      </w:r>
      <w:r w:rsidRPr="008802DD">
        <w:rPr>
          <w:rFonts w:ascii="Arial" w:hAnsi="Arial" w:cs="Arial"/>
          <w:sz w:val="25"/>
          <w:szCs w:val="25"/>
        </w:rPr>
        <w:t>las compañías de financiamiento son los siguientes:</w:t>
      </w:r>
    </w:p>
    <w:p w14:paraId="5F1D05BA" w14:textId="77777777" w:rsidR="008802DD" w:rsidRPr="008802DD" w:rsidRDefault="008802DD" w:rsidP="008802DD">
      <w:pPr>
        <w:jc w:val="center"/>
        <w:rPr>
          <w:rFonts w:ascii="Arial" w:hAnsi="Arial" w:cs="Arial"/>
          <w:b/>
          <w:sz w:val="25"/>
          <w:szCs w:val="25"/>
        </w:rPr>
      </w:pPr>
    </w:p>
    <w:p w14:paraId="7771A2E8" w14:textId="77777777" w:rsidR="00E25688" w:rsidRDefault="0030402D" w:rsidP="008802DD">
      <w:pPr>
        <w:pStyle w:val="Textoindependiente"/>
        <w:suppressAutoHyphens/>
        <w:jc w:val="center"/>
        <w:rPr>
          <w:rFonts w:cs="Arial"/>
          <w:b/>
          <w:sz w:val="25"/>
          <w:szCs w:val="25"/>
        </w:rPr>
      </w:pPr>
      <w:r w:rsidRPr="0030402D">
        <w:rPr>
          <w:noProof/>
        </w:rPr>
        <w:lastRenderedPageBreak/>
        <w:drawing>
          <wp:inline distT="0" distB="0" distL="0" distR="0" wp14:anchorId="456966DD" wp14:editId="779C188E">
            <wp:extent cx="5387151" cy="8162925"/>
            <wp:effectExtent l="0" t="0" r="444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88217" cy="8164540"/>
                    </a:xfrm>
                    <a:prstGeom prst="rect">
                      <a:avLst/>
                    </a:prstGeom>
                    <a:noFill/>
                    <a:ln>
                      <a:noFill/>
                    </a:ln>
                  </pic:spPr>
                </pic:pic>
              </a:graphicData>
            </a:graphic>
          </wp:inline>
        </w:drawing>
      </w:r>
    </w:p>
    <w:p w14:paraId="5D83A586" w14:textId="77777777" w:rsidR="00E25688" w:rsidRPr="008802DD" w:rsidRDefault="00E25688" w:rsidP="008802DD">
      <w:pPr>
        <w:pStyle w:val="Textoindependiente"/>
        <w:suppressAutoHyphens/>
        <w:jc w:val="center"/>
        <w:rPr>
          <w:rFonts w:cs="Arial"/>
          <w:b/>
          <w:sz w:val="25"/>
          <w:szCs w:val="25"/>
        </w:rPr>
      </w:pPr>
    </w:p>
    <w:p w14:paraId="1E7200A4" w14:textId="77777777" w:rsidR="008802DD" w:rsidRPr="008802DD" w:rsidRDefault="008802DD" w:rsidP="008802DD">
      <w:pPr>
        <w:pStyle w:val="Textoindependiente"/>
        <w:numPr>
          <w:ilvl w:val="0"/>
          <w:numId w:val="5"/>
        </w:numPr>
        <w:suppressAutoHyphens/>
        <w:rPr>
          <w:rFonts w:cs="Arial"/>
          <w:b/>
          <w:sz w:val="25"/>
          <w:szCs w:val="25"/>
        </w:rPr>
      </w:pPr>
      <w:r w:rsidRPr="008802DD">
        <w:rPr>
          <w:rFonts w:cs="Arial"/>
          <w:b/>
          <w:sz w:val="25"/>
          <w:szCs w:val="25"/>
        </w:rPr>
        <w:t>DETERMINACIÓN DE LAS CUENTAS QUE APLICAN A LOS ESTABLECIMIENTOS DE CRÉDITO</w:t>
      </w:r>
    </w:p>
    <w:p w14:paraId="168F49D4" w14:textId="77777777" w:rsidR="008802DD" w:rsidRPr="008802DD" w:rsidRDefault="008802DD" w:rsidP="008802DD">
      <w:pPr>
        <w:pStyle w:val="Textoindependiente"/>
        <w:suppressAutoHyphens/>
        <w:ind w:left="720"/>
        <w:rPr>
          <w:rFonts w:cs="Arial"/>
          <w:b/>
          <w:sz w:val="25"/>
          <w:szCs w:val="25"/>
        </w:rPr>
      </w:pPr>
    </w:p>
    <w:p w14:paraId="121010FA" w14:textId="77777777" w:rsidR="008802DD" w:rsidRPr="008802DD" w:rsidRDefault="008802DD" w:rsidP="008802DD">
      <w:pPr>
        <w:ind w:left="426"/>
        <w:jc w:val="both"/>
        <w:rPr>
          <w:rFonts w:ascii="Arial" w:hAnsi="Arial" w:cs="Arial"/>
          <w:sz w:val="25"/>
          <w:szCs w:val="25"/>
        </w:rPr>
      </w:pPr>
      <w:r w:rsidRPr="008802DD">
        <w:rPr>
          <w:rFonts w:ascii="Arial" w:hAnsi="Arial" w:cs="Arial"/>
          <w:sz w:val="25"/>
          <w:szCs w:val="25"/>
        </w:rPr>
        <w:t>La información necesaria para el cálculo de cada uno de los indicadores es la siguiente:</w:t>
      </w:r>
    </w:p>
    <w:p w14:paraId="0D67FAD3" w14:textId="77777777" w:rsidR="008802DD" w:rsidRPr="008802DD" w:rsidRDefault="008802DD" w:rsidP="008802DD">
      <w:pPr>
        <w:pStyle w:val="Prrafodelista"/>
        <w:spacing w:after="0" w:line="240" w:lineRule="auto"/>
        <w:ind w:left="426"/>
        <w:jc w:val="both"/>
        <w:rPr>
          <w:rFonts w:ascii="Arial" w:hAnsi="Arial" w:cs="Arial"/>
          <w:sz w:val="25"/>
          <w:szCs w:val="25"/>
        </w:rPr>
      </w:pPr>
    </w:p>
    <w:p w14:paraId="690E2660" w14:textId="77777777" w:rsidR="008802DD" w:rsidRPr="008802DD" w:rsidRDefault="008802DD" w:rsidP="008802DD">
      <w:pPr>
        <w:pStyle w:val="Textoindependiente"/>
        <w:numPr>
          <w:ilvl w:val="1"/>
          <w:numId w:val="5"/>
        </w:numPr>
        <w:suppressAutoHyphens/>
        <w:rPr>
          <w:rFonts w:cs="Arial"/>
          <w:b/>
          <w:sz w:val="25"/>
          <w:szCs w:val="25"/>
        </w:rPr>
      </w:pPr>
      <w:r w:rsidRPr="008802DD">
        <w:rPr>
          <w:rFonts w:cs="Arial"/>
          <w:b/>
          <w:sz w:val="25"/>
          <w:szCs w:val="25"/>
        </w:rPr>
        <w:t xml:space="preserve"> C</w:t>
      </w:r>
      <w:r w:rsidR="002B1241" w:rsidRPr="008802DD">
        <w:rPr>
          <w:rFonts w:cs="Arial"/>
          <w:b/>
          <w:sz w:val="25"/>
          <w:szCs w:val="25"/>
        </w:rPr>
        <w:t>apital</w:t>
      </w:r>
    </w:p>
    <w:p w14:paraId="5EE313C7" w14:textId="77777777" w:rsidR="008802DD" w:rsidRPr="008802DD" w:rsidRDefault="008802DD" w:rsidP="008802DD">
      <w:pPr>
        <w:pStyle w:val="Prrafodelista"/>
        <w:spacing w:after="0" w:line="240" w:lineRule="auto"/>
        <w:ind w:left="831"/>
        <w:jc w:val="both"/>
        <w:rPr>
          <w:rFonts w:ascii="Arial" w:hAnsi="Arial" w:cs="Arial"/>
          <w:b/>
          <w:sz w:val="25"/>
          <w:szCs w:val="25"/>
        </w:rPr>
      </w:pPr>
    </w:p>
    <w:p w14:paraId="487AB081" w14:textId="77777777" w:rsidR="008802DD" w:rsidRPr="008802DD" w:rsidRDefault="008802DD" w:rsidP="008802DD">
      <w:pPr>
        <w:pStyle w:val="Prrafodelista"/>
        <w:spacing w:after="0" w:line="240" w:lineRule="auto"/>
        <w:ind w:left="831"/>
        <w:jc w:val="both"/>
        <w:rPr>
          <w:rFonts w:ascii="Arial" w:hAnsi="Arial" w:cs="Arial"/>
          <w:b/>
          <w:sz w:val="25"/>
          <w:szCs w:val="25"/>
        </w:rPr>
      </w:pPr>
      <w:r w:rsidRPr="008802DD">
        <w:rPr>
          <w:rFonts w:ascii="Arial" w:hAnsi="Arial" w:cs="Arial"/>
          <w:b/>
          <w:sz w:val="25"/>
          <w:szCs w:val="25"/>
        </w:rPr>
        <w:t>4.1.1 Patrimonio técnico / (Activos ponderados por nivel de riesgo + ((100/9)* VaR))</w:t>
      </w:r>
    </w:p>
    <w:p w14:paraId="25D21E54" w14:textId="77777777" w:rsidR="008802DD" w:rsidRPr="008802DD" w:rsidRDefault="008802DD" w:rsidP="008802DD">
      <w:pPr>
        <w:pStyle w:val="Prrafodelista"/>
        <w:spacing w:after="0" w:line="240" w:lineRule="auto"/>
        <w:ind w:left="1125"/>
        <w:rPr>
          <w:rFonts w:ascii="Arial" w:hAnsi="Arial" w:cs="Arial"/>
          <w:sz w:val="25"/>
          <w:szCs w:val="25"/>
          <w:highlight w:val="yellow"/>
        </w:rPr>
      </w:pPr>
    </w:p>
    <w:p w14:paraId="08E251B6" w14:textId="77777777" w:rsidR="00A54C55" w:rsidRDefault="008802DD" w:rsidP="00E26D1F">
      <w:pPr>
        <w:pStyle w:val="Prrafodelista"/>
        <w:spacing w:after="0" w:line="240" w:lineRule="auto"/>
        <w:ind w:left="709"/>
        <w:jc w:val="both"/>
        <w:rPr>
          <w:rFonts w:ascii="Arial" w:hAnsi="Arial" w:cs="Arial"/>
          <w:sz w:val="25"/>
          <w:szCs w:val="25"/>
        </w:rPr>
      </w:pPr>
      <w:r w:rsidRPr="008802DD">
        <w:rPr>
          <w:rFonts w:ascii="Arial" w:hAnsi="Arial" w:cs="Arial"/>
          <w:sz w:val="25"/>
          <w:szCs w:val="25"/>
        </w:rPr>
        <w:t>Se tomará el valor reportado en el Formato 301, Unidad de Captura 04, Columna 2, Subcuenta 010, correspondiente al concepto de Relación de Solvencia Total.</w:t>
      </w:r>
    </w:p>
    <w:p w14:paraId="439747C1" w14:textId="77777777" w:rsidR="00E43960" w:rsidRDefault="00E43960" w:rsidP="00E26D1F">
      <w:pPr>
        <w:pStyle w:val="Prrafodelista"/>
        <w:spacing w:after="0" w:line="240" w:lineRule="auto"/>
        <w:ind w:left="709"/>
        <w:jc w:val="both"/>
        <w:rPr>
          <w:rFonts w:ascii="Arial" w:hAnsi="Arial" w:cs="Arial"/>
          <w:sz w:val="25"/>
          <w:szCs w:val="25"/>
        </w:rPr>
      </w:pPr>
    </w:p>
    <w:p w14:paraId="6D657ABF" w14:textId="7BB7E8E4" w:rsidR="008802DD" w:rsidRPr="00E43960" w:rsidRDefault="00A54C55" w:rsidP="00E26D1F">
      <w:pPr>
        <w:pStyle w:val="Prrafodelista"/>
        <w:spacing w:after="0" w:line="240" w:lineRule="auto"/>
        <w:ind w:left="709"/>
        <w:jc w:val="both"/>
        <w:rPr>
          <w:rFonts w:ascii="Arial" w:hAnsi="Arial" w:cs="Arial"/>
          <w:b/>
          <w:bCs/>
          <w:sz w:val="25"/>
          <w:szCs w:val="25"/>
          <w:u w:val="single"/>
        </w:rPr>
      </w:pPr>
      <w:r w:rsidRPr="00E43960">
        <w:rPr>
          <w:rFonts w:ascii="Arial" w:hAnsi="Arial" w:cs="Arial"/>
          <w:b/>
          <w:bCs/>
          <w:sz w:val="25"/>
          <w:szCs w:val="25"/>
          <w:u w:val="single"/>
        </w:rPr>
        <w:t>Para las entidades que empiecen a transmitir el Formato 239</w:t>
      </w:r>
      <w:r w:rsidR="00132646">
        <w:rPr>
          <w:rFonts w:ascii="Arial" w:hAnsi="Arial" w:cs="Arial"/>
          <w:b/>
          <w:bCs/>
          <w:sz w:val="25"/>
          <w:szCs w:val="25"/>
          <w:u w:val="single"/>
        </w:rPr>
        <w:t>,</w:t>
      </w:r>
      <w:r w:rsidRPr="00E43960">
        <w:rPr>
          <w:rFonts w:ascii="Arial" w:hAnsi="Arial" w:cs="Arial"/>
          <w:b/>
          <w:bCs/>
          <w:sz w:val="25"/>
          <w:szCs w:val="25"/>
          <w:u w:val="single"/>
        </w:rPr>
        <w:t xml:space="preserve"> en lugar del Formato 301, se tomará el valor reportado en el Formato 239, Unidad de Captura 14, Columna 5, Subcuenta 060, correspondiente al concepto Relación de Solvencia Total.</w:t>
      </w:r>
      <w:r w:rsidR="008802DD" w:rsidRPr="00E43960">
        <w:rPr>
          <w:rFonts w:ascii="Arial" w:hAnsi="Arial" w:cs="Arial"/>
          <w:b/>
          <w:bCs/>
          <w:sz w:val="25"/>
          <w:szCs w:val="25"/>
          <w:u w:val="single"/>
        </w:rPr>
        <w:t xml:space="preserve">   </w:t>
      </w:r>
    </w:p>
    <w:p w14:paraId="6922E41A" w14:textId="77777777" w:rsidR="008802DD" w:rsidRPr="008802DD" w:rsidRDefault="008802DD" w:rsidP="008802DD">
      <w:pPr>
        <w:pStyle w:val="Prrafodelista"/>
        <w:spacing w:after="0" w:line="240" w:lineRule="auto"/>
        <w:ind w:left="786"/>
        <w:jc w:val="both"/>
        <w:rPr>
          <w:rFonts w:ascii="Arial" w:hAnsi="Arial" w:cs="Arial"/>
          <w:sz w:val="25"/>
          <w:szCs w:val="25"/>
        </w:rPr>
      </w:pPr>
    </w:p>
    <w:p w14:paraId="7A9596E1" w14:textId="77777777" w:rsidR="008802DD" w:rsidRPr="008802DD" w:rsidRDefault="008802DD" w:rsidP="008802DD">
      <w:pPr>
        <w:pStyle w:val="Prrafodelista"/>
        <w:spacing w:after="0" w:line="240" w:lineRule="auto"/>
        <w:ind w:left="831"/>
        <w:jc w:val="both"/>
        <w:rPr>
          <w:rFonts w:ascii="Arial" w:hAnsi="Arial" w:cs="Arial"/>
          <w:b/>
          <w:sz w:val="25"/>
          <w:szCs w:val="25"/>
        </w:rPr>
      </w:pPr>
      <w:r w:rsidRPr="008802DD">
        <w:rPr>
          <w:rFonts w:ascii="Arial" w:hAnsi="Arial" w:cs="Arial"/>
          <w:b/>
          <w:sz w:val="25"/>
          <w:szCs w:val="25"/>
        </w:rPr>
        <w:t>4.1.</w:t>
      </w:r>
      <w:r w:rsidR="00ED20E6">
        <w:rPr>
          <w:rFonts w:ascii="Arial" w:hAnsi="Arial" w:cs="Arial"/>
          <w:b/>
          <w:sz w:val="25"/>
          <w:szCs w:val="25"/>
        </w:rPr>
        <w:t>2</w:t>
      </w:r>
      <w:r w:rsidRPr="008802DD">
        <w:rPr>
          <w:rFonts w:ascii="Arial" w:hAnsi="Arial" w:cs="Arial"/>
          <w:b/>
          <w:sz w:val="25"/>
          <w:szCs w:val="25"/>
        </w:rPr>
        <w:t xml:space="preserve"> Patrimonio total / Activos totales</w:t>
      </w:r>
    </w:p>
    <w:p w14:paraId="57CA22FC" w14:textId="77777777" w:rsidR="008802DD" w:rsidRPr="008802DD" w:rsidRDefault="008802DD" w:rsidP="008802DD">
      <w:pPr>
        <w:pStyle w:val="Prrafodelista"/>
        <w:spacing w:after="0" w:line="240" w:lineRule="auto"/>
        <w:ind w:left="831"/>
        <w:jc w:val="both"/>
        <w:rPr>
          <w:rFonts w:ascii="Arial" w:hAnsi="Arial" w:cs="Arial"/>
          <w:b/>
          <w:sz w:val="25"/>
          <w:szCs w:val="25"/>
        </w:rPr>
      </w:pPr>
    </w:p>
    <w:p w14:paraId="00ACF119" w14:textId="77777777" w:rsidR="008802DD" w:rsidRPr="008802DD" w:rsidRDefault="008802DD" w:rsidP="00E26D1F">
      <w:pPr>
        <w:pStyle w:val="Prrafodelista"/>
        <w:spacing w:after="0" w:line="240" w:lineRule="auto"/>
        <w:ind w:left="709"/>
        <w:jc w:val="both"/>
        <w:rPr>
          <w:rFonts w:ascii="Arial" w:hAnsi="Arial" w:cs="Arial"/>
          <w:sz w:val="25"/>
          <w:szCs w:val="25"/>
        </w:rPr>
      </w:pPr>
      <w:r w:rsidRPr="008802DD">
        <w:rPr>
          <w:rFonts w:ascii="Arial" w:hAnsi="Arial" w:cs="Arial"/>
          <w:sz w:val="25"/>
          <w:szCs w:val="25"/>
        </w:rPr>
        <w:t>Este indicador incluye los siguientes rubros del Catálogo Único de Información Financiera con fines de supervisión:</w:t>
      </w:r>
    </w:p>
    <w:p w14:paraId="05A9ED81" w14:textId="77777777" w:rsidR="008802DD" w:rsidRPr="008802DD" w:rsidRDefault="008802DD" w:rsidP="008802DD">
      <w:pPr>
        <w:pStyle w:val="Prrafodelista"/>
        <w:spacing w:after="0" w:line="240" w:lineRule="auto"/>
        <w:ind w:left="831"/>
        <w:jc w:val="both"/>
        <w:rPr>
          <w:rFonts w:ascii="Arial" w:hAnsi="Arial" w:cs="Arial"/>
          <w:b/>
          <w:sz w:val="25"/>
          <w:szCs w:val="25"/>
        </w:rPr>
      </w:pPr>
    </w:p>
    <w:p w14:paraId="630921CA" w14:textId="77777777" w:rsidR="008802DD" w:rsidRPr="008802DD" w:rsidRDefault="008802DD" w:rsidP="002759A2">
      <w:pPr>
        <w:pStyle w:val="Prrafodelista"/>
        <w:numPr>
          <w:ilvl w:val="0"/>
          <w:numId w:val="1"/>
        </w:numPr>
        <w:spacing w:after="0" w:line="240" w:lineRule="auto"/>
        <w:ind w:left="1134" w:hanging="426"/>
        <w:jc w:val="both"/>
        <w:rPr>
          <w:rFonts w:ascii="Arial" w:hAnsi="Arial" w:cs="Arial"/>
          <w:sz w:val="25"/>
          <w:szCs w:val="25"/>
        </w:rPr>
      </w:pPr>
      <w:r w:rsidRPr="008802DD">
        <w:rPr>
          <w:rFonts w:ascii="Arial" w:hAnsi="Arial" w:cs="Arial"/>
          <w:b/>
          <w:sz w:val="25"/>
          <w:szCs w:val="25"/>
        </w:rPr>
        <w:t>Patrimonio total (numerador)</w:t>
      </w:r>
      <w:r w:rsidRPr="008802DD">
        <w:rPr>
          <w:rFonts w:ascii="Arial" w:hAnsi="Arial" w:cs="Arial"/>
          <w:sz w:val="25"/>
          <w:szCs w:val="25"/>
        </w:rPr>
        <w:t xml:space="preserve">. 300000 </w:t>
      </w:r>
    </w:p>
    <w:p w14:paraId="706222FF" w14:textId="77777777" w:rsidR="008802DD" w:rsidRPr="008802DD" w:rsidRDefault="008802DD" w:rsidP="002759A2">
      <w:pPr>
        <w:pStyle w:val="Prrafodelista"/>
        <w:spacing w:after="0" w:line="240" w:lineRule="auto"/>
        <w:ind w:left="1134" w:hanging="426"/>
        <w:jc w:val="both"/>
        <w:rPr>
          <w:rFonts w:ascii="Arial" w:hAnsi="Arial" w:cs="Arial"/>
          <w:sz w:val="25"/>
          <w:szCs w:val="25"/>
        </w:rPr>
      </w:pPr>
    </w:p>
    <w:p w14:paraId="7FE57EB4" w14:textId="77777777" w:rsidR="008802DD" w:rsidRPr="008802DD" w:rsidRDefault="008802DD" w:rsidP="002759A2">
      <w:pPr>
        <w:pStyle w:val="Prrafodelista"/>
        <w:numPr>
          <w:ilvl w:val="0"/>
          <w:numId w:val="1"/>
        </w:numPr>
        <w:spacing w:after="0" w:line="240" w:lineRule="auto"/>
        <w:ind w:left="1134" w:hanging="426"/>
        <w:jc w:val="both"/>
        <w:rPr>
          <w:rFonts w:ascii="Arial" w:hAnsi="Arial" w:cs="Arial"/>
          <w:sz w:val="25"/>
          <w:szCs w:val="25"/>
        </w:rPr>
      </w:pPr>
      <w:r w:rsidRPr="008802DD">
        <w:rPr>
          <w:rFonts w:ascii="Arial" w:hAnsi="Arial" w:cs="Arial"/>
          <w:b/>
          <w:sz w:val="25"/>
          <w:szCs w:val="25"/>
        </w:rPr>
        <w:t>Activos totales (denominador)</w:t>
      </w:r>
      <w:r w:rsidRPr="008802DD">
        <w:rPr>
          <w:rFonts w:ascii="Arial" w:hAnsi="Arial" w:cs="Arial"/>
          <w:sz w:val="25"/>
          <w:szCs w:val="25"/>
        </w:rPr>
        <w:t>. 100000</w:t>
      </w:r>
    </w:p>
    <w:p w14:paraId="223AB927" w14:textId="77777777" w:rsidR="008802DD" w:rsidRPr="008802DD" w:rsidRDefault="008802DD" w:rsidP="008802DD">
      <w:pPr>
        <w:pStyle w:val="Prrafodelista"/>
        <w:spacing w:after="0" w:line="240" w:lineRule="auto"/>
        <w:ind w:left="786"/>
        <w:jc w:val="both"/>
        <w:rPr>
          <w:rFonts w:ascii="Arial" w:hAnsi="Arial" w:cs="Arial"/>
          <w:sz w:val="25"/>
          <w:szCs w:val="25"/>
        </w:rPr>
      </w:pPr>
    </w:p>
    <w:p w14:paraId="41DDC716" w14:textId="77777777" w:rsidR="008802DD" w:rsidRPr="008802DD" w:rsidRDefault="002B1241" w:rsidP="008802DD">
      <w:pPr>
        <w:pStyle w:val="Textoindependiente"/>
        <w:numPr>
          <w:ilvl w:val="1"/>
          <w:numId w:val="5"/>
        </w:numPr>
        <w:suppressAutoHyphens/>
        <w:rPr>
          <w:rFonts w:cs="Arial"/>
          <w:b/>
          <w:sz w:val="25"/>
          <w:szCs w:val="25"/>
        </w:rPr>
      </w:pPr>
      <w:r>
        <w:rPr>
          <w:rFonts w:cs="Arial"/>
          <w:b/>
          <w:sz w:val="25"/>
          <w:szCs w:val="25"/>
        </w:rPr>
        <w:t xml:space="preserve"> </w:t>
      </w:r>
      <w:r w:rsidRPr="008802DD">
        <w:rPr>
          <w:rFonts w:cs="Arial"/>
          <w:b/>
          <w:sz w:val="25"/>
          <w:szCs w:val="25"/>
        </w:rPr>
        <w:t>Activos</w:t>
      </w:r>
    </w:p>
    <w:p w14:paraId="742B807D" w14:textId="77777777" w:rsidR="008802DD" w:rsidRPr="008802DD" w:rsidRDefault="008802DD" w:rsidP="008802DD">
      <w:pPr>
        <w:pStyle w:val="Prrafodelista"/>
        <w:spacing w:after="0" w:line="240" w:lineRule="auto"/>
        <w:ind w:left="1146"/>
        <w:jc w:val="both"/>
        <w:rPr>
          <w:rFonts w:ascii="Arial" w:hAnsi="Arial" w:cs="Arial"/>
          <w:b/>
          <w:sz w:val="25"/>
          <w:szCs w:val="25"/>
        </w:rPr>
      </w:pPr>
    </w:p>
    <w:p w14:paraId="43ED3206" w14:textId="77777777" w:rsidR="008802DD" w:rsidRPr="008802DD" w:rsidRDefault="008802DD" w:rsidP="008802DD">
      <w:pPr>
        <w:pStyle w:val="Prrafodelista"/>
        <w:spacing w:after="0" w:line="240" w:lineRule="auto"/>
        <w:ind w:left="831"/>
        <w:jc w:val="both"/>
        <w:rPr>
          <w:rFonts w:ascii="Arial" w:hAnsi="Arial" w:cs="Arial"/>
          <w:b/>
          <w:sz w:val="25"/>
          <w:szCs w:val="25"/>
        </w:rPr>
      </w:pPr>
      <w:r w:rsidRPr="008802DD">
        <w:rPr>
          <w:rFonts w:ascii="Arial" w:hAnsi="Arial" w:cs="Arial"/>
          <w:b/>
          <w:sz w:val="25"/>
          <w:szCs w:val="25"/>
        </w:rPr>
        <w:t>4.2.1 Crecimiento anual de cartera bruta</w:t>
      </w:r>
    </w:p>
    <w:p w14:paraId="7DA4D855" w14:textId="77777777" w:rsidR="008802DD" w:rsidRPr="008802DD" w:rsidRDefault="008802DD" w:rsidP="008802DD">
      <w:pPr>
        <w:pStyle w:val="Prrafodelista"/>
        <w:spacing w:after="0" w:line="240" w:lineRule="auto"/>
        <w:ind w:left="831"/>
        <w:jc w:val="both"/>
        <w:rPr>
          <w:rFonts w:ascii="Arial" w:hAnsi="Arial" w:cs="Arial"/>
          <w:b/>
          <w:sz w:val="25"/>
          <w:szCs w:val="25"/>
        </w:rPr>
      </w:pPr>
    </w:p>
    <w:p w14:paraId="380C3203" w14:textId="77777777" w:rsidR="008802DD" w:rsidRPr="008802DD" w:rsidRDefault="008802DD" w:rsidP="00E26D1F">
      <w:pPr>
        <w:pStyle w:val="Prrafodelista"/>
        <w:spacing w:after="0" w:line="240" w:lineRule="auto"/>
        <w:ind w:left="709"/>
        <w:jc w:val="both"/>
        <w:rPr>
          <w:rFonts w:ascii="Arial" w:hAnsi="Arial" w:cs="Arial"/>
          <w:sz w:val="25"/>
          <w:szCs w:val="25"/>
        </w:rPr>
      </w:pPr>
      <w:r w:rsidRPr="008802DD">
        <w:rPr>
          <w:rFonts w:ascii="Arial" w:hAnsi="Arial" w:cs="Arial"/>
          <w:sz w:val="25"/>
          <w:szCs w:val="25"/>
        </w:rPr>
        <w:t>Este indicador incluye los siguientes rubros del C</w:t>
      </w:r>
      <w:r w:rsidRPr="008802DD">
        <w:rPr>
          <w:rStyle w:val="nfasis"/>
          <w:rFonts w:ascii="Arial" w:hAnsi="Arial" w:cs="Arial"/>
          <w:bCs/>
          <w:i w:val="0"/>
          <w:iCs w:val="0"/>
          <w:sz w:val="25"/>
          <w:szCs w:val="25"/>
          <w:shd w:val="clear" w:color="auto" w:fill="FFFFFF"/>
        </w:rPr>
        <w:t>atálogo Único de</w:t>
      </w:r>
      <w:r w:rsidRPr="008802DD">
        <w:rPr>
          <w:rStyle w:val="apple-converted-space"/>
          <w:rFonts w:ascii="Arial" w:hAnsi="Arial" w:cs="Arial"/>
          <w:sz w:val="25"/>
          <w:szCs w:val="25"/>
          <w:shd w:val="clear" w:color="auto" w:fill="FFFFFF"/>
        </w:rPr>
        <w:t> </w:t>
      </w:r>
      <w:r w:rsidRPr="008802DD">
        <w:rPr>
          <w:rFonts w:ascii="Arial" w:hAnsi="Arial" w:cs="Arial"/>
          <w:sz w:val="25"/>
          <w:szCs w:val="25"/>
          <w:shd w:val="clear" w:color="auto" w:fill="FFFFFF"/>
        </w:rPr>
        <w:t>Información Financiera con fines de</w:t>
      </w:r>
      <w:r w:rsidRPr="008802DD">
        <w:rPr>
          <w:rStyle w:val="apple-converted-space"/>
          <w:rFonts w:ascii="Arial" w:hAnsi="Arial" w:cs="Arial"/>
          <w:sz w:val="25"/>
          <w:szCs w:val="25"/>
          <w:shd w:val="clear" w:color="auto" w:fill="FFFFFF"/>
        </w:rPr>
        <w:t> </w:t>
      </w:r>
      <w:r w:rsidRPr="008802DD">
        <w:rPr>
          <w:rStyle w:val="nfasis"/>
          <w:rFonts w:ascii="Arial" w:hAnsi="Arial" w:cs="Arial"/>
          <w:bCs/>
          <w:i w:val="0"/>
          <w:iCs w:val="0"/>
          <w:sz w:val="25"/>
          <w:szCs w:val="25"/>
          <w:shd w:val="clear" w:color="auto" w:fill="FFFFFF"/>
        </w:rPr>
        <w:t>supervisión:</w:t>
      </w:r>
    </w:p>
    <w:p w14:paraId="46E75DC1" w14:textId="77777777" w:rsidR="008802DD" w:rsidRPr="008802DD" w:rsidRDefault="008802DD" w:rsidP="008802DD">
      <w:pPr>
        <w:pStyle w:val="Prrafodelista"/>
        <w:spacing w:after="0" w:line="240" w:lineRule="auto"/>
        <w:ind w:left="831"/>
        <w:jc w:val="both"/>
        <w:rPr>
          <w:rFonts w:ascii="Arial" w:hAnsi="Arial" w:cs="Arial"/>
          <w:b/>
          <w:sz w:val="25"/>
          <w:szCs w:val="25"/>
        </w:rPr>
      </w:pPr>
    </w:p>
    <w:p w14:paraId="35048596" w14:textId="77777777" w:rsidR="008802DD" w:rsidRPr="008802DD" w:rsidRDefault="008802DD" w:rsidP="008802DD">
      <w:pPr>
        <w:pStyle w:val="Prrafodelista"/>
        <w:numPr>
          <w:ilvl w:val="1"/>
          <w:numId w:val="1"/>
        </w:numPr>
        <w:spacing w:after="0" w:line="240" w:lineRule="auto"/>
        <w:ind w:left="1560" w:hanging="426"/>
        <w:jc w:val="both"/>
        <w:rPr>
          <w:rFonts w:ascii="Arial" w:hAnsi="Arial" w:cs="Arial"/>
          <w:sz w:val="25"/>
          <w:szCs w:val="25"/>
        </w:rPr>
      </w:pPr>
      <w:r w:rsidRPr="008802DD">
        <w:rPr>
          <w:rFonts w:ascii="Arial" w:hAnsi="Arial" w:cs="Arial"/>
          <w:b/>
          <w:sz w:val="25"/>
          <w:szCs w:val="25"/>
        </w:rPr>
        <w:t>Cartera bruta</w:t>
      </w:r>
      <w:r w:rsidRPr="008802DD">
        <w:rPr>
          <w:rFonts w:ascii="Arial" w:hAnsi="Arial" w:cs="Arial"/>
          <w:sz w:val="25"/>
          <w:szCs w:val="25"/>
        </w:rPr>
        <w:t>. 140000 + 148700 + 148800 + 148900 + 149100 + 149300 + 149500 + 149800</w:t>
      </w:r>
    </w:p>
    <w:p w14:paraId="0985A87B" w14:textId="77777777" w:rsidR="008802DD" w:rsidRPr="008802DD" w:rsidRDefault="008802DD" w:rsidP="008802DD">
      <w:pPr>
        <w:pStyle w:val="Prrafodelista"/>
        <w:spacing w:after="0" w:line="240" w:lineRule="auto"/>
        <w:ind w:left="1191"/>
        <w:jc w:val="both"/>
        <w:rPr>
          <w:rFonts w:ascii="Arial" w:hAnsi="Arial" w:cs="Arial"/>
          <w:sz w:val="25"/>
          <w:szCs w:val="25"/>
        </w:rPr>
      </w:pPr>
    </w:p>
    <w:p w14:paraId="679D3A1E" w14:textId="77777777" w:rsidR="008802DD" w:rsidRPr="008802DD" w:rsidRDefault="008802DD" w:rsidP="008802DD">
      <w:pPr>
        <w:pStyle w:val="Prrafodelista"/>
        <w:spacing w:after="0" w:line="240" w:lineRule="auto"/>
        <w:ind w:left="1418"/>
        <w:jc w:val="both"/>
        <w:rPr>
          <w:rFonts w:ascii="Arial" w:hAnsi="Arial" w:cs="Arial"/>
          <w:sz w:val="25"/>
          <w:szCs w:val="25"/>
        </w:rPr>
      </w:pPr>
      <w:r w:rsidRPr="008802DD">
        <w:rPr>
          <w:rFonts w:ascii="Arial" w:hAnsi="Arial" w:cs="Arial"/>
          <w:sz w:val="25"/>
          <w:szCs w:val="25"/>
        </w:rPr>
        <w:t xml:space="preserve">La fórmula para el crecimiento anual es la siguiente: </w:t>
      </w:r>
    </w:p>
    <w:p w14:paraId="15CB7D06" w14:textId="77777777" w:rsidR="008802DD" w:rsidRPr="008802DD" w:rsidRDefault="008802DD" w:rsidP="008802DD">
      <w:pPr>
        <w:pStyle w:val="Prrafodelista"/>
        <w:spacing w:after="0" w:line="240" w:lineRule="auto"/>
        <w:ind w:left="1191"/>
        <w:jc w:val="both"/>
        <w:rPr>
          <w:rFonts w:ascii="Arial" w:hAnsi="Arial" w:cs="Arial"/>
          <w:sz w:val="25"/>
          <w:szCs w:val="25"/>
        </w:rPr>
      </w:pPr>
    </w:p>
    <w:p w14:paraId="3A8806C7" w14:textId="77777777" w:rsidR="008802DD" w:rsidRPr="008802DD" w:rsidRDefault="006E486A" w:rsidP="008802DD">
      <w:pPr>
        <w:pStyle w:val="Prrafodelista"/>
        <w:spacing w:after="0" w:line="240" w:lineRule="auto"/>
        <w:ind w:left="1191"/>
        <w:jc w:val="center"/>
        <w:rPr>
          <w:rFonts w:ascii="Arial" w:hAnsi="Arial" w:cs="Arial"/>
          <w:sz w:val="25"/>
          <w:szCs w:val="25"/>
        </w:rPr>
      </w:pPr>
      <m:oMathPara>
        <m:oMath>
          <m:d>
            <m:dPr>
              <m:ctrlPr>
                <w:rPr>
                  <w:rFonts w:ascii="Cambria Math" w:hAnsi="Cambria Math" w:cs="Arial"/>
                  <w:i/>
                  <w:sz w:val="25"/>
                  <w:szCs w:val="25"/>
                </w:rPr>
              </m:ctrlPr>
            </m:dPr>
            <m:e>
              <m:f>
                <m:fPr>
                  <m:ctrlPr>
                    <w:rPr>
                      <w:rFonts w:ascii="Cambria Math" w:hAnsi="Cambria Math" w:cs="Arial"/>
                      <w:i/>
                      <w:sz w:val="25"/>
                      <w:szCs w:val="25"/>
                    </w:rPr>
                  </m:ctrlPr>
                </m:fPr>
                <m:num>
                  <m:sSub>
                    <m:sSubPr>
                      <m:ctrlPr>
                        <w:rPr>
                          <w:rFonts w:ascii="Cambria Math" w:hAnsi="Cambria Math" w:cs="Arial"/>
                          <w:i/>
                          <w:sz w:val="25"/>
                          <w:szCs w:val="25"/>
                        </w:rPr>
                      </m:ctrlPr>
                    </m:sSubPr>
                    <m:e>
                      <m:r>
                        <w:rPr>
                          <w:rFonts w:ascii="Cambria Math" w:hAnsi="Cambria Math" w:cs="Arial"/>
                          <w:sz w:val="25"/>
                          <w:szCs w:val="25"/>
                        </w:rPr>
                        <m:t>Cartera Bruta</m:t>
                      </m:r>
                    </m:e>
                    <m:sub>
                      <m:r>
                        <w:rPr>
                          <w:rFonts w:ascii="Cambria Math" w:hAnsi="Cambria Math" w:cs="Arial"/>
                          <w:sz w:val="25"/>
                          <w:szCs w:val="25"/>
                        </w:rPr>
                        <m:t>t</m:t>
                      </m:r>
                    </m:sub>
                  </m:sSub>
                </m:num>
                <m:den>
                  <m:sSub>
                    <m:sSubPr>
                      <m:ctrlPr>
                        <w:rPr>
                          <w:rFonts w:ascii="Cambria Math" w:hAnsi="Cambria Math" w:cs="Arial"/>
                          <w:i/>
                          <w:sz w:val="25"/>
                          <w:szCs w:val="25"/>
                        </w:rPr>
                      </m:ctrlPr>
                    </m:sSubPr>
                    <m:e>
                      <m:r>
                        <w:rPr>
                          <w:rFonts w:ascii="Cambria Math" w:hAnsi="Cambria Math" w:cs="Arial"/>
                          <w:sz w:val="25"/>
                          <w:szCs w:val="25"/>
                        </w:rPr>
                        <m:t>Cartera Bruta</m:t>
                      </m:r>
                    </m:e>
                    <m:sub>
                      <m:r>
                        <w:rPr>
                          <w:rFonts w:ascii="Cambria Math" w:hAnsi="Cambria Math" w:cs="Arial"/>
                          <w:sz w:val="25"/>
                          <w:szCs w:val="25"/>
                        </w:rPr>
                        <m:t>t-12meses</m:t>
                      </m:r>
                    </m:sub>
                  </m:sSub>
                  <m:r>
                    <w:rPr>
                      <w:rFonts w:ascii="Cambria Math" w:hAnsi="Cambria Math" w:cs="Arial"/>
                      <w:sz w:val="25"/>
                      <w:szCs w:val="25"/>
                    </w:rPr>
                    <m:t xml:space="preserve"> </m:t>
                  </m:r>
                </m:den>
              </m:f>
            </m:e>
          </m:d>
          <m:r>
            <w:rPr>
              <w:rFonts w:ascii="Cambria Math" w:hAnsi="Cambria Math" w:cs="Arial"/>
              <w:sz w:val="25"/>
              <w:szCs w:val="25"/>
            </w:rPr>
            <m:t>-1</m:t>
          </m:r>
        </m:oMath>
      </m:oMathPara>
    </w:p>
    <w:p w14:paraId="0F78D198" w14:textId="77777777" w:rsidR="008802DD" w:rsidRPr="008802DD" w:rsidRDefault="008802DD" w:rsidP="008802DD">
      <w:pPr>
        <w:pStyle w:val="Prrafodelista"/>
        <w:spacing w:after="0" w:line="240" w:lineRule="auto"/>
        <w:ind w:left="1191"/>
        <w:jc w:val="center"/>
        <w:rPr>
          <w:rFonts w:ascii="Arial" w:hAnsi="Arial" w:cs="Arial"/>
          <w:sz w:val="25"/>
          <w:szCs w:val="25"/>
        </w:rPr>
      </w:pPr>
    </w:p>
    <w:p w14:paraId="290D6AC5" w14:textId="77777777" w:rsidR="008802DD" w:rsidRDefault="008802DD" w:rsidP="008802DD">
      <w:pPr>
        <w:pStyle w:val="Prrafodelista"/>
        <w:spacing w:after="0" w:line="240" w:lineRule="auto"/>
        <w:ind w:left="1418"/>
        <w:jc w:val="both"/>
        <w:rPr>
          <w:rFonts w:ascii="Arial" w:hAnsi="Arial" w:cs="Arial"/>
          <w:sz w:val="25"/>
          <w:szCs w:val="25"/>
        </w:rPr>
      </w:pPr>
      <w:r w:rsidRPr="008802DD">
        <w:rPr>
          <w:rFonts w:ascii="Arial" w:hAnsi="Arial" w:cs="Arial"/>
          <w:sz w:val="25"/>
          <w:szCs w:val="25"/>
        </w:rPr>
        <w:lastRenderedPageBreak/>
        <w:t xml:space="preserve">Donde t corresponde al mes en el que se realiza el cálculo. </w:t>
      </w:r>
    </w:p>
    <w:p w14:paraId="73622A64" w14:textId="77777777" w:rsidR="002759A2" w:rsidRPr="00132646" w:rsidRDefault="002759A2" w:rsidP="00132646">
      <w:pPr>
        <w:jc w:val="both"/>
        <w:rPr>
          <w:rFonts w:ascii="Arial" w:hAnsi="Arial" w:cs="Arial"/>
          <w:b/>
          <w:sz w:val="25"/>
          <w:szCs w:val="25"/>
        </w:rPr>
      </w:pPr>
    </w:p>
    <w:p w14:paraId="18012A27" w14:textId="77777777" w:rsidR="002759A2" w:rsidRDefault="002759A2" w:rsidP="008802DD">
      <w:pPr>
        <w:pStyle w:val="Prrafodelista"/>
        <w:spacing w:after="0" w:line="240" w:lineRule="auto"/>
        <w:ind w:left="831"/>
        <w:jc w:val="both"/>
        <w:rPr>
          <w:rFonts w:ascii="Arial" w:hAnsi="Arial" w:cs="Arial"/>
          <w:b/>
          <w:sz w:val="25"/>
          <w:szCs w:val="25"/>
        </w:rPr>
      </w:pPr>
    </w:p>
    <w:p w14:paraId="7FBADC53" w14:textId="77777777" w:rsidR="008802DD" w:rsidRPr="008802DD" w:rsidRDefault="008802DD" w:rsidP="008802DD">
      <w:pPr>
        <w:pStyle w:val="Prrafodelista"/>
        <w:spacing w:after="0" w:line="240" w:lineRule="auto"/>
        <w:ind w:left="831"/>
        <w:jc w:val="both"/>
        <w:rPr>
          <w:rFonts w:ascii="Arial" w:hAnsi="Arial" w:cs="Arial"/>
          <w:b/>
          <w:sz w:val="25"/>
          <w:szCs w:val="25"/>
        </w:rPr>
      </w:pPr>
      <w:r w:rsidRPr="008802DD">
        <w:rPr>
          <w:rFonts w:ascii="Arial" w:hAnsi="Arial" w:cs="Arial"/>
          <w:b/>
          <w:sz w:val="25"/>
          <w:szCs w:val="25"/>
        </w:rPr>
        <w:t>4.2.2 (Cartera clasificada en C, D y E - Provisiones) / Patrimonio total</w:t>
      </w:r>
    </w:p>
    <w:p w14:paraId="3EA36B44" w14:textId="77777777" w:rsidR="008802DD" w:rsidRPr="008802DD" w:rsidRDefault="008802DD" w:rsidP="008802DD">
      <w:pPr>
        <w:pStyle w:val="Prrafodelista"/>
        <w:spacing w:after="0" w:line="240" w:lineRule="auto"/>
        <w:ind w:left="831"/>
        <w:jc w:val="both"/>
        <w:rPr>
          <w:rFonts w:ascii="Arial" w:hAnsi="Arial" w:cs="Arial"/>
          <w:b/>
          <w:sz w:val="25"/>
          <w:szCs w:val="25"/>
        </w:rPr>
      </w:pPr>
    </w:p>
    <w:p w14:paraId="1E56E726" w14:textId="77777777" w:rsidR="008802DD" w:rsidRPr="008802DD" w:rsidRDefault="008802DD" w:rsidP="002759A2">
      <w:pPr>
        <w:pStyle w:val="Prrafodelista"/>
        <w:spacing w:after="0" w:line="240" w:lineRule="auto"/>
        <w:ind w:left="709"/>
        <w:jc w:val="both"/>
        <w:rPr>
          <w:rStyle w:val="nfasis"/>
          <w:rFonts w:ascii="Arial" w:hAnsi="Arial" w:cs="Arial"/>
          <w:bCs/>
          <w:i w:val="0"/>
          <w:iCs w:val="0"/>
          <w:sz w:val="25"/>
          <w:szCs w:val="25"/>
          <w:shd w:val="clear" w:color="auto" w:fill="FFFFFF"/>
        </w:rPr>
      </w:pPr>
      <w:r w:rsidRPr="008802DD">
        <w:rPr>
          <w:rFonts w:ascii="Arial" w:hAnsi="Arial" w:cs="Arial"/>
          <w:sz w:val="25"/>
          <w:szCs w:val="25"/>
        </w:rPr>
        <w:t>Este indicador se calculará cuando el valor de la cuenta del C</w:t>
      </w:r>
      <w:r w:rsidRPr="008802DD">
        <w:rPr>
          <w:rStyle w:val="nfasis"/>
          <w:rFonts w:ascii="Arial" w:hAnsi="Arial" w:cs="Arial"/>
          <w:bCs/>
          <w:i w:val="0"/>
          <w:iCs w:val="0"/>
          <w:sz w:val="25"/>
          <w:szCs w:val="25"/>
          <w:shd w:val="clear" w:color="auto" w:fill="FFFFFF"/>
        </w:rPr>
        <w:t>atálogo Único de</w:t>
      </w:r>
      <w:r w:rsidRPr="008802DD">
        <w:rPr>
          <w:rStyle w:val="apple-converted-space"/>
          <w:rFonts w:ascii="Arial" w:hAnsi="Arial" w:cs="Arial"/>
          <w:sz w:val="25"/>
          <w:szCs w:val="25"/>
          <w:shd w:val="clear" w:color="auto" w:fill="FFFFFF"/>
        </w:rPr>
        <w:t> </w:t>
      </w:r>
      <w:r w:rsidRPr="008802DD">
        <w:rPr>
          <w:rFonts w:ascii="Arial" w:hAnsi="Arial" w:cs="Arial"/>
          <w:sz w:val="25"/>
          <w:szCs w:val="25"/>
          <w:shd w:val="clear" w:color="auto" w:fill="FFFFFF"/>
        </w:rPr>
        <w:t>Información Financiera con fines de</w:t>
      </w:r>
      <w:r w:rsidRPr="008802DD">
        <w:rPr>
          <w:rStyle w:val="apple-converted-space"/>
          <w:rFonts w:ascii="Arial" w:hAnsi="Arial" w:cs="Arial"/>
          <w:sz w:val="25"/>
          <w:szCs w:val="25"/>
          <w:shd w:val="clear" w:color="auto" w:fill="FFFFFF"/>
        </w:rPr>
        <w:t> </w:t>
      </w:r>
      <w:r w:rsidRPr="008802DD">
        <w:rPr>
          <w:rStyle w:val="nfasis"/>
          <w:rFonts w:ascii="Arial" w:hAnsi="Arial" w:cs="Arial"/>
          <w:bCs/>
          <w:i w:val="0"/>
          <w:iCs w:val="0"/>
          <w:sz w:val="25"/>
          <w:szCs w:val="25"/>
          <w:shd w:val="clear" w:color="auto" w:fill="FFFFFF"/>
        </w:rPr>
        <w:t>supervisión</w:t>
      </w:r>
      <w:r w:rsidRPr="008802DD">
        <w:rPr>
          <w:rFonts w:ascii="Arial" w:hAnsi="Arial" w:cs="Arial"/>
          <w:sz w:val="25"/>
          <w:szCs w:val="25"/>
        </w:rPr>
        <w:t xml:space="preserve"> 140000 sea diferente de cero. Este indicador incluye los siguientes rubros del C</w:t>
      </w:r>
      <w:r w:rsidRPr="008802DD">
        <w:rPr>
          <w:rStyle w:val="nfasis"/>
          <w:rFonts w:ascii="Arial" w:hAnsi="Arial" w:cs="Arial"/>
          <w:bCs/>
          <w:i w:val="0"/>
          <w:iCs w:val="0"/>
          <w:sz w:val="25"/>
          <w:szCs w:val="25"/>
          <w:shd w:val="clear" w:color="auto" w:fill="FFFFFF"/>
        </w:rPr>
        <w:t>atálogo Único de</w:t>
      </w:r>
      <w:r w:rsidRPr="008802DD">
        <w:rPr>
          <w:rStyle w:val="apple-converted-space"/>
          <w:rFonts w:ascii="Arial" w:hAnsi="Arial" w:cs="Arial"/>
          <w:sz w:val="25"/>
          <w:szCs w:val="25"/>
          <w:shd w:val="clear" w:color="auto" w:fill="FFFFFF"/>
        </w:rPr>
        <w:t> </w:t>
      </w:r>
      <w:r w:rsidRPr="008802DD">
        <w:rPr>
          <w:rFonts w:ascii="Arial" w:hAnsi="Arial" w:cs="Arial"/>
          <w:sz w:val="25"/>
          <w:szCs w:val="25"/>
          <w:shd w:val="clear" w:color="auto" w:fill="FFFFFF"/>
        </w:rPr>
        <w:t>Información Financiera con fines de</w:t>
      </w:r>
      <w:r w:rsidRPr="008802DD">
        <w:rPr>
          <w:rStyle w:val="apple-converted-space"/>
          <w:rFonts w:ascii="Arial" w:hAnsi="Arial" w:cs="Arial"/>
          <w:sz w:val="25"/>
          <w:szCs w:val="25"/>
          <w:shd w:val="clear" w:color="auto" w:fill="FFFFFF"/>
        </w:rPr>
        <w:t> </w:t>
      </w:r>
      <w:r w:rsidRPr="008802DD">
        <w:rPr>
          <w:rStyle w:val="nfasis"/>
          <w:rFonts w:ascii="Arial" w:hAnsi="Arial" w:cs="Arial"/>
          <w:bCs/>
          <w:i w:val="0"/>
          <w:iCs w:val="0"/>
          <w:sz w:val="25"/>
          <w:szCs w:val="25"/>
          <w:shd w:val="clear" w:color="auto" w:fill="FFFFFF"/>
        </w:rPr>
        <w:t xml:space="preserve">supervisión: </w:t>
      </w:r>
    </w:p>
    <w:p w14:paraId="06EE4F4F" w14:textId="77777777" w:rsidR="008802DD" w:rsidRPr="008802DD" w:rsidRDefault="008802DD" w:rsidP="008802DD">
      <w:pPr>
        <w:pStyle w:val="Prrafodelista"/>
        <w:spacing w:after="0" w:line="240" w:lineRule="auto"/>
        <w:ind w:left="831"/>
        <w:jc w:val="both"/>
        <w:rPr>
          <w:rFonts w:ascii="Arial" w:hAnsi="Arial" w:cs="Arial"/>
          <w:b/>
          <w:sz w:val="25"/>
          <w:szCs w:val="25"/>
        </w:rPr>
      </w:pPr>
    </w:p>
    <w:p w14:paraId="7F654D81" w14:textId="77777777" w:rsidR="008802DD" w:rsidRPr="008802DD" w:rsidRDefault="008802DD" w:rsidP="002759A2">
      <w:pPr>
        <w:pStyle w:val="Prrafodelista"/>
        <w:numPr>
          <w:ilvl w:val="0"/>
          <w:numId w:val="1"/>
        </w:numPr>
        <w:spacing w:after="0" w:line="240" w:lineRule="auto"/>
        <w:ind w:left="1134" w:hanging="426"/>
        <w:jc w:val="both"/>
        <w:rPr>
          <w:rFonts w:ascii="Arial" w:hAnsi="Arial" w:cs="Arial"/>
          <w:sz w:val="25"/>
          <w:szCs w:val="25"/>
        </w:rPr>
      </w:pPr>
      <w:r w:rsidRPr="008802DD">
        <w:rPr>
          <w:rFonts w:ascii="Arial" w:hAnsi="Arial" w:cs="Arial"/>
          <w:b/>
          <w:sz w:val="25"/>
          <w:szCs w:val="25"/>
        </w:rPr>
        <w:t>Cartera clasificada en C, D o E (primer término del numerador)</w:t>
      </w:r>
      <w:r w:rsidRPr="008802DD">
        <w:rPr>
          <w:rFonts w:ascii="Arial" w:hAnsi="Arial" w:cs="Arial"/>
          <w:sz w:val="25"/>
          <w:szCs w:val="25"/>
        </w:rPr>
        <w:t>. 140425 + 140430 + 140435 + 140440 + 140445 + 140450 + 140815 + 140820 + 140825 + 141015 + 141020 + 141025 + 141215 + 141220 + 141225 + 141415 + 141420 + 141425 + 141440 + 141445 + 141450 + 141470 + 141475 + 141480</w:t>
      </w:r>
    </w:p>
    <w:p w14:paraId="6C5B5CD3" w14:textId="77777777" w:rsidR="008802DD" w:rsidRPr="008802DD" w:rsidRDefault="008802DD" w:rsidP="002759A2">
      <w:pPr>
        <w:pStyle w:val="Prrafodelista"/>
        <w:spacing w:after="0" w:line="240" w:lineRule="auto"/>
        <w:ind w:left="1134"/>
        <w:jc w:val="both"/>
        <w:rPr>
          <w:rFonts w:ascii="Arial" w:hAnsi="Arial" w:cs="Arial"/>
          <w:sz w:val="25"/>
          <w:szCs w:val="25"/>
        </w:rPr>
      </w:pPr>
    </w:p>
    <w:p w14:paraId="0804FA60" w14:textId="77777777" w:rsidR="008802DD" w:rsidRPr="008802DD" w:rsidRDefault="008802DD" w:rsidP="002759A2">
      <w:pPr>
        <w:pStyle w:val="Prrafodelista"/>
        <w:numPr>
          <w:ilvl w:val="0"/>
          <w:numId w:val="1"/>
        </w:numPr>
        <w:spacing w:after="0" w:line="240" w:lineRule="auto"/>
        <w:ind w:left="1134" w:hanging="426"/>
        <w:jc w:val="both"/>
        <w:rPr>
          <w:rFonts w:ascii="Arial" w:hAnsi="Arial" w:cs="Arial"/>
          <w:sz w:val="25"/>
          <w:szCs w:val="25"/>
        </w:rPr>
      </w:pPr>
      <w:r w:rsidRPr="008802DD">
        <w:rPr>
          <w:rFonts w:ascii="Arial" w:hAnsi="Arial" w:cs="Arial"/>
          <w:b/>
          <w:sz w:val="25"/>
          <w:szCs w:val="25"/>
        </w:rPr>
        <w:t>Provisiones (segundo término del numerador)</w:t>
      </w:r>
      <w:r w:rsidRPr="008802DD">
        <w:rPr>
          <w:rFonts w:ascii="Arial" w:hAnsi="Arial" w:cs="Arial"/>
          <w:sz w:val="25"/>
          <w:szCs w:val="25"/>
        </w:rPr>
        <w:t xml:space="preserve">. 148700 + 148800 + 148900 + 149100 + 149300 + 149500 + 149800 - 148810 - 148835 - 148865- 148915 - 148920 - 149110 - 149310 - 149510 </w:t>
      </w:r>
    </w:p>
    <w:p w14:paraId="4205E1C2" w14:textId="77777777" w:rsidR="008802DD" w:rsidRPr="008802DD" w:rsidRDefault="008802DD" w:rsidP="002759A2">
      <w:pPr>
        <w:pStyle w:val="Prrafodelista"/>
        <w:spacing w:after="0" w:line="240" w:lineRule="auto"/>
        <w:ind w:left="1134" w:hanging="426"/>
        <w:rPr>
          <w:rFonts w:ascii="Arial" w:hAnsi="Arial" w:cs="Arial"/>
          <w:sz w:val="25"/>
          <w:szCs w:val="25"/>
        </w:rPr>
      </w:pPr>
    </w:p>
    <w:p w14:paraId="76B2A1BF" w14:textId="77777777" w:rsidR="008802DD" w:rsidRPr="008802DD" w:rsidRDefault="008802DD" w:rsidP="002759A2">
      <w:pPr>
        <w:pStyle w:val="Prrafodelista"/>
        <w:numPr>
          <w:ilvl w:val="0"/>
          <w:numId w:val="1"/>
        </w:numPr>
        <w:spacing w:after="0" w:line="240" w:lineRule="auto"/>
        <w:ind w:left="1134" w:hanging="426"/>
        <w:jc w:val="both"/>
        <w:rPr>
          <w:rFonts w:ascii="Arial" w:hAnsi="Arial" w:cs="Arial"/>
          <w:sz w:val="25"/>
          <w:szCs w:val="25"/>
        </w:rPr>
      </w:pPr>
      <w:r w:rsidRPr="008802DD">
        <w:rPr>
          <w:rFonts w:ascii="Arial" w:hAnsi="Arial" w:cs="Arial"/>
          <w:b/>
          <w:sz w:val="25"/>
          <w:szCs w:val="25"/>
        </w:rPr>
        <w:t>Patrimonio total (denominador)</w:t>
      </w:r>
      <w:r w:rsidRPr="008802DD">
        <w:rPr>
          <w:rFonts w:ascii="Arial" w:hAnsi="Arial" w:cs="Arial"/>
          <w:sz w:val="25"/>
          <w:szCs w:val="25"/>
        </w:rPr>
        <w:t xml:space="preserve">. 300000 </w:t>
      </w:r>
    </w:p>
    <w:p w14:paraId="3DF40729" w14:textId="77777777" w:rsidR="008802DD" w:rsidRPr="008802DD" w:rsidRDefault="008802DD" w:rsidP="008802DD">
      <w:pPr>
        <w:pStyle w:val="Prrafodelista"/>
        <w:spacing w:after="0" w:line="240" w:lineRule="auto"/>
        <w:ind w:left="1125"/>
        <w:rPr>
          <w:rFonts w:ascii="Arial" w:hAnsi="Arial" w:cs="Arial"/>
          <w:sz w:val="25"/>
          <w:szCs w:val="25"/>
          <w:highlight w:val="yellow"/>
        </w:rPr>
      </w:pPr>
    </w:p>
    <w:p w14:paraId="55C38397" w14:textId="77777777" w:rsidR="008802DD" w:rsidRPr="008802DD" w:rsidRDefault="008802DD" w:rsidP="008802DD">
      <w:pPr>
        <w:pStyle w:val="Prrafodelista"/>
        <w:spacing w:after="0" w:line="240" w:lineRule="auto"/>
        <w:ind w:left="831"/>
        <w:jc w:val="both"/>
        <w:rPr>
          <w:rFonts w:ascii="Arial" w:hAnsi="Arial" w:cs="Arial"/>
          <w:b/>
          <w:sz w:val="25"/>
          <w:szCs w:val="25"/>
        </w:rPr>
      </w:pPr>
      <w:r w:rsidRPr="008802DD">
        <w:rPr>
          <w:rFonts w:ascii="Arial" w:hAnsi="Arial" w:cs="Arial"/>
          <w:b/>
          <w:sz w:val="25"/>
          <w:szCs w:val="25"/>
        </w:rPr>
        <w:t>4.2.3 VaR / Patrimonio básico</w:t>
      </w:r>
    </w:p>
    <w:p w14:paraId="489C0D93" w14:textId="77777777" w:rsidR="008802DD" w:rsidRPr="008802DD" w:rsidRDefault="008802DD" w:rsidP="008802DD">
      <w:pPr>
        <w:pStyle w:val="Prrafodelista"/>
        <w:spacing w:after="0" w:line="240" w:lineRule="auto"/>
        <w:ind w:left="831"/>
        <w:jc w:val="both"/>
        <w:rPr>
          <w:rFonts w:ascii="Arial" w:hAnsi="Arial" w:cs="Arial"/>
          <w:b/>
          <w:sz w:val="25"/>
          <w:szCs w:val="25"/>
        </w:rPr>
      </w:pPr>
    </w:p>
    <w:p w14:paraId="665AB77C" w14:textId="77777777" w:rsidR="00E43960" w:rsidRDefault="008802DD" w:rsidP="00A85B23">
      <w:pPr>
        <w:pStyle w:val="Prrafodelista"/>
        <w:numPr>
          <w:ilvl w:val="0"/>
          <w:numId w:val="1"/>
        </w:numPr>
        <w:jc w:val="both"/>
        <w:rPr>
          <w:rFonts w:ascii="Arial" w:hAnsi="Arial" w:cs="Arial"/>
          <w:sz w:val="25"/>
          <w:szCs w:val="25"/>
        </w:rPr>
      </w:pPr>
      <w:r w:rsidRPr="00A54C55">
        <w:rPr>
          <w:rFonts w:ascii="Arial" w:hAnsi="Arial" w:cs="Arial"/>
          <w:b/>
          <w:sz w:val="25"/>
          <w:szCs w:val="25"/>
        </w:rPr>
        <w:t>VaR - Riesgo de mercado (numerador)</w:t>
      </w:r>
      <w:r w:rsidRPr="00A54C55">
        <w:rPr>
          <w:rFonts w:ascii="Arial" w:hAnsi="Arial" w:cs="Arial"/>
          <w:sz w:val="25"/>
          <w:szCs w:val="25"/>
        </w:rPr>
        <w:t>. Se tomará el valor reportado en el Formato 301, Unidad de Captura 03, Columna 1, Subcuenta 060, correspondiente al concepto de Riesgo de Mercado.</w:t>
      </w:r>
    </w:p>
    <w:p w14:paraId="25C19273" w14:textId="1DA88DF5" w:rsidR="00A54C55" w:rsidRDefault="00A54C55" w:rsidP="00E43960">
      <w:pPr>
        <w:pStyle w:val="Prrafodelista"/>
        <w:ind w:left="786"/>
        <w:jc w:val="both"/>
        <w:rPr>
          <w:rFonts w:ascii="Arial" w:hAnsi="Arial" w:cs="Arial"/>
          <w:sz w:val="25"/>
          <w:szCs w:val="25"/>
        </w:rPr>
      </w:pPr>
      <w:r w:rsidRPr="00A54C55">
        <w:rPr>
          <w:rFonts w:ascii="Arial" w:hAnsi="Arial" w:cs="Arial"/>
          <w:sz w:val="25"/>
          <w:szCs w:val="25"/>
        </w:rPr>
        <w:t xml:space="preserve"> </w:t>
      </w:r>
    </w:p>
    <w:p w14:paraId="0E1C1BA6" w14:textId="596E683D" w:rsidR="00A54C55" w:rsidRPr="00E43960" w:rsidRDefault="00A54C55" w:rsidP="00A85B23">
      <w:pPr>
        <w:pStyle w:val="Prrafodelista"/>
        <w:numPr>
          <w:ilvl w:val="0"/>
          <w:numId w:val="1"/>
        </w:numPr>
        <w:jc w:val="both"/>
        <w:rPr>
          <w:rFonts w:ascii="Arial" w:hAnsi="Arial" w:cs="Arial"/>
          <w:b/>
          <w:bCs/>
          <w:sz w:val="25"/>
          <w:szCs w:val="25"/>
          <w:u w:val="single"/>
        </w:rPr>
      </w:pPr>
      <w:r w:rsidRPr="00E43960">
        <w:rPr>
          <w:rFonts w:ascii="Arial" w:hAnsi="Arial" w:cs="Arial"/>
          <w:b/>
          <w:bCs/>
          <w:sz w:val="25"/>
          <w:szCs w:val="25"/>
          <w:u w:val="single"/>
        </w:rPr>
        <w:t>Para las entidades que empiecen a transmitir el Formato 239</w:t>
      </w:r>
      <w:r w:rsidR="00132646">
        <w:rPr>
          <w:rFonts w:ascii="Arial" w:hAnsi="Arial" w:cs="Arial"/>
          <w:b/>
          <w:bCs/>
          <w:sz w:val="25"/>
          <w:szCs w:val="25"/>
          <w:u w:val="single"/>
        </w:rPr>
        <w:t>,</w:t>
      </w:r>
      <w:r w:rsidRPr="00E43960">
        <w:rPr>
          <w:rFonts w:ascii="Arial" w:hAnsi="Arial" w:cs="Arial"/>
          <w:b/>
          <w:bCs/>
          <w:sz w:val="25"/>
          <w:szCs w:val="25"/>
          <w:u w:val="single"/>
        </w:rPr>
        <w:t xml:space="preserve"> en lugar del Formato 301, se tomará el valor reportado en el Formato 239, Unidad de Captura 14, Columna 5, Subcuenta 030, correspondiente al concepto Total Riesgo de Mercado</w:t>
      </w:r>
      <w:r w:rsidR="00A85B23" w:rsidRPr="00E43960">
        <w:rPr>
          <w:rFonts w:ascii="Arial" w:hAnsi="Arial" w:cs="Arial"/>
          <w:b/>
          <w:bCs/>
          <w:sz w:val="25"/>
          <w:szCs w:val="25"/>
          <w:u w:val="single"/>
        </w:rPr>
        <w:t>, multiplicado por 9%.</w:t>
      </w:r>
      <w:r w:rsidRPr="00E43960">
        <w:rPr>
          <w:rFonts w:ascii="Arial" w:hAnsi="Arial" w:cs="Arial"/>
          <w:b/>
          <w:bCs/>
          <w:sz w:val="25"/>
          <w:szCs w:val="25"/>
          <w:u w:val="single"/>
        </w:rPr>
        <w:t xml:space="preserve">     </w:t>
      </w:r>
    </w:p>
    <w:p w14:paraId="675D68EC" w14:textId="77777777" w:rsidR="008802DD" w:rsidRDefault="008802DD" w:rsidP="00E43960">
      <w:pPr>
        <w:pStyle w:val="Prrafodelista"/>
        <w:spacing w:after="0" w:line="240" w:lineRule="auto"/>
        <w:ind w:left="1134"/>
        <w:jc w:val="both"/>
        <w:rPr>
          <w:rFonts w:ascii="Arial" w:hAnsi="Arial" w:cs="Arial"/>
          <w:sz w:val="25"/>
          <w:szCs w:val="25"/>
        </w:rPr>
      </w:pPr>
    </w:p>
    <w:p w14:paraId="058F19BA" w14:textId="77777777" w:rsidR="00575A56" w:rsidRPr="00575A56" w:rsidRDefault="00575A56" w:rsidP="00A54C55">
      <w:pPr>
        <w:pStyle w:val="Prrafodelista"/>
        <w:spacing w:after="0" w:line="240" w:lineRule="auto"/>
        <w:ind w:left="1134"/>
        <w:jc w:val="both"/>
        <w:rPr>
          <w:rFonts w:ascii="Arial" w:hAnsi="Arial" w:cs="Arial"/>
          <w:sz w:val="25"/>
          <w:szCs w:val="25"/>
        </w:rPr>
      </w:pPr>
    </w:p>
    <w:p w14:paraId="5DDAAEF0" w14:textId="77777777" w:rsidR="00A54C55" w:rsidRDefault="008802DD" w:rsidP="00A54C55">
      <w:pPr>
        <w:pStyle w:val="Prrafodelista"/>
        <w:numPr>
          <w:ilvl w:val="0"/>
          <w:numId w:val="1"/>
        </w:numPr>
        <w:jc w:val="both"/>
        <w:rPr>
          <w:rFonts w:ascii="Arial" w:hAnsi="Arial" w:cs="Arial"/>
          <w:sz w:val="25"/>
          <w:szCs w:val="25"/>
        </w:rPr>
      </w:pPr>
      <w:r w:rsidRPr="00A54C55">
        <w:rPr>
          <w:rFonts w:ascii="Arial" w:hAnsi="Arial" w:cs="Arial"/>
          <w:b/>
          <w:sz w:val="25"/>
          <w:szCs w:val="25"/>
        </w:rPr>
        <w:t>Patrimonio básico (denominador)</w:t>
      </w:r>
      <w:r w:rsidRPr="00A54C55">
        <w:rPr>
          <w:rFonts w:ascii="Arial" w:hAnsi="Arial" w:cs="Arial"/>
          <w:sz w:val="25"/>
          <w:szCs w:val="25"/>
        </w:rPr>
        <w:t xml:space="preserve">. Se tomará el valor que resulte de la suma entre el valor reportado en el Formato 301, Unidad de Captura 03, Columna 2, Subcuenta 030, correspondiente al concepto de Patrimonio Básico Ordinario y el valor reportado en el Formato 301, Unidad de Captura 03, Columna 2, Subcuenta 035, correspondiente al concepto de Patrimonio Básico Adicional. </w:t>
      </w:r>
    </w:p>
    <w:p w14:paraId="29761A23" w14:textId="7BA1DE46" w:rsidR="00A54C55" w:rsidRPr="00E43960" w:rsidRDefault="00A54C55" w:rsidP="00A54C55">
      <w:pPr>
        <w:pStyle w:val="Prrafodelista"/>
        <w:numPr>
          <w:ilvl w:val="0"/>
          <w:numId w:val="1"/>
        </w:numPr>
        <w:jc w:val="both"/>
        <w:rPr>
          <w:rFonts w:ascii="Arial" w:hAnsi="Arial" w:cs="Arial"/>
          <w:b/>
          <w:bCs/>
          <w:sz w:val="25"/>
          <w:szCs w:val="25"/>
          <w:u w:val="single"/>
        </w:rPr>
      </w:pPr>
      <w:r w:rsidRPr="00E43960">
        <w:rPr>
          <w:rFonts w:ascii="Arial" w:hAnsi="Arial" w:cs="Arial"/>
          <w:b/>
          <w:bCs/>
          <w:sz w:val="25"/>
          <w:szCs w:val="25"/>
          <w:u w:val="single"/>
        </w:rPr>
        <w:t>Para las entidades que empiecen a transmitir el Formato 239</w:t>
      </w:r>
      <w:r w:rsidR="00132646">
        <w:rPr>
          <w:rFonts w:ascii="Arial" w:hAnsi="Arial" w:cs="Arial"/>
          <w:b/>
          <w:bCs/>
          <w:sz w:val="25"/>
          <w:szCs w:val="25"/>
          <w:u w:val="single"/>
        </w:rPr>
        <w:t>,</w:t>
      </w:r>
      <w:r w:rsidRPr="00E43960">
        <w:rPr>
          <w:rFonts w:ascii="Arial" w:hAnsi="Arial" w:cs="Arial"/>
          <w:b/>
          <w:bCs/>
          <w:sz w:val="25"/>
          <w:szCs w:val="25"/>
          <w:u w:val="single"/>
        </w:rPr>
        <w:t xml:space="preserve"> en lugar del Formato 301, se tomará el valor que resulte de la suma entre el valor reportado en el Formato 239, Unidad de Captura 14, Columna 5, </w:t>
      </w:r>
      <w:r w:rsidRPr="00E43960">
        <w:rPr>
          <w:rFonts w:ascii="Arial" w:hAnsi="Arial" w:cs="Arial"/>
          <w:b/>
          <w:bCs/>
          <w:sz w:val="25"/>
          <w:szCs w:val="25"/>
          <w:u w:val="single"/>
        </w:rPr>
        <w:lastRenderedPageBreak/>
        <w:t>Subcuenta 005, correspondiente al concepto Patrimonio Básico Ordinario Neto de Deducciones (PBO) y el valor reportado en el Formato 239, Unidad de Captura 14, Columna 5, Subcuenta 010, correspondiente al concepto Patrimonio Básico Adicional (PBA).</w:t>
      </w:r>
    </w:p>
    <w:p w14:paraId="32D5683D" w14:textId="71803640" w:rsidR="008802DD" w:rsidRPr="008802DD" w:rsidRDefault="008802DD" w:rsidP="00132646">
      <w:pPr>
        <w:pStyle w:val="Prrafodelista"/>
        <w:spacing w:after="0" w:line="240" w:lineRule="auto"/>
        <w:ind w:left="1134"/>
        <w:jc w:val="both"/>
        <w:rPr>
          <w:rFonts w:ascii="Arial" w:hAnsi="Arial" w:cs="Arial"/>
          <w:sz w:val="25"/>
          <w:szCs w:val="25"/>
        </w:rPr>
      </w:pPr>
    </w:p>
    <w:p w14:paraId="400CB67D" w14:textId="77777777" w:rsidR="008802DD" w:rsidRPr="008802DD" w:rsidRDefault="008802DD" w:rsidP="008802DD">
      <w:pPr>
        <w:pStyle w:val="Prrafodelista"/>
        <w:spacing w:after="0" w:line="240" w:lineRule="auto"/>
        <w:rPr>
          <w:rFonts w:ascii="Arial" w:hAnsi="Arial" w:cs="Arial"/>
          <w:sz w:val="25"/>
          <w:szCs w:val="25"/>
        </w:rPr>
      </w:pPr>
    </w:p>
    <w:p w14:paraId="42C1BA71" w14:textId="77777777" w:rsidR="008802DD" w:rsidRPr="008802DD" w:rsidRDefault="002B1241" w:rsidP="008802DD">
      <w:pPr>
        <w:pStyle w:val="Textoindependiente"/>
        <w:numPr>
          <w:ilvl w:val="1"/>
          <w:numId w:val="5"/>
        </w:numPr>
        <w:suppressAutoHyphens/>
        <w:rPr>
          <w:rFonts w:cs="Arial"/>
          <w:b/>
          <w:sz w:val="25"/>
          <w:szCs w:val="25"/>
        </w:rPr>
      </w:pPr>
      <w:r>
        <w:rPr>
          <w:rFonts w:cs="Arial"/>
          <w:b/>
          <w:sz w:val="25"/>
          <w:szCs w:val="25"/>
        </w:rPr>
        <w:t xml:space="preserve"> </w:t>
      </w:r>
      <w:r w:rsidRPr="008802DD">
        <w:rPr>
          <w:rFonts w:cs="Arial"/>
          <w:b/>
          <w:sz w:val="25"/>
          <w:szCs w:val="25"/>
        </w:rPr>
        <w:t>Gestión</w:t>
      </w:r>
    </w:p>
    <w:p w14:paraId="1D1A6382" w14:textId="77777777" w:rsidR="008802DD" w:rsidRPr="008802DD" w:rsidRDefault="008802DD" w:rsidP="008802DD">
      <w:pPr>
        <w:pStyle w:val="Prrafodelista"/>
        <w:spacing w:after="0" w:line="240" w:lineRule="auto"/>
        <w:ind w:left="360"/>
        <w:jc w:val="both"/>
        <w:rPr>
          <w:rFonts w:ascii="Arial" w:hAnsi="Arial" w:cs="Arial"/>
          <w:sz w:val="25"/>
          <w:szCs w:val="25"/>
        </w:rPr>
      </w:pPr>
    </w:p>
    <w:p w14:paraId="18683FA1" w14:textId="77777777" w:rsidR="008802DD" w:rsidRPr="008802DD" w:rsidRDefault="008802DD" w:rsidP="008802DD">
      <w:pPr>
        <w:pStyle w:val="Prrafodelista"/>
        <w:spacing w:after="0" w:line="240" w:lineRule="auto"/>
        <w:ind w:left="831"/>
        <w:jc w:val="both"/>
        <w:rPr>
          <w:rFonts w:ascii="Arial" w:hAnsi="Arial" w:cs="Arial"/>
          <w:b/>
          <w:sz w:val="25"/>
          <w:szCs w:val="25"/>
        </w:rPr>
      </w:pPr>
      <w:r w:rsidRPr="008802DD">
        <w:rPr>
          <w:rFonts w:ascii="Arial" w:hAnsi="Arial" w:cs="Arial"/>
          <w:b/>
          <w:sz w:val="25"/>
          <w:szCs w:val="25"/>
        </w:rPr>
        <w:t>4.3.</w:t>
      </w:r>
      <w:r w:rsidR="00B56C0A">
        <w:rPr>
          <w:rFonts w:ascii="Arial" w:hAnsi="Arial" w:cs="Arial"/>
          <w:b/>
          <w:sz w:val="25"/>
          <w:szCs w:val="25"/>
        </w:rPr>
        <w:t>1</w:t>
      </w:r>
      <w:r w:rsidRPr="008802DD">
        <w:rPr>
          <w:rFonts w:ascii="Arial" w:hAnsi="Arial" w:cs="Arial"/>
          <w:b/>
          <w:sz w:val="25"/>
          <w:szCs w:val="25"/>
        </w:rPr>
        <w:t xml:space="preserve"> Multas, sanciones y otros pasivos estimados</w:t>
      </w:r>
      <w:r w:rsidR="00AF7F62">
        <w:rPr>
          <w:rFonts w:ascii="Arial" w:hAnsi="Arial" w:cs="Arial"/>
          <w:b/>
          <w:sz w:val="25"/>
          <w:szCs w:val="25"/>
        </w:rPr>
        <w:t xml:space="preserve"> </w:t>
      </w:r>
      <w:r w:rsidRPr="008802DD">
        <w:rPr>
          <w:rFonts w:ascii="Arial" w:hAnsi="Arial" w:cs="Arial"/>
          <w:b/>
          <w:sz w:val="25"/>
          <w:szCs w:val="25"/>
        </w:rPr>
        <w:t>/ Patrimonio total</w:t>
      </w:r>
    </w:p>
    <w:p w14:paraId="725DCF50" w14:textId="77777777" w:rsidR="008802DD" w:rsidRPr="008802DD" w:rsidRDefault="008802DD" w:rsidP="008802DD">
      <w:pPr>
        <w:pStyle w:val="Prrafodelista"/>
        <w:spacing w:after="0" w:line="240" w:lineRule="auto"/>
        <w:ind w:left="831"/>
        <w:jc w:val="both"/>
        <w:rPr>
          <w:rFonts w:ascii="Arial" w:hAnsi="Arial" w:cs="Arial"/>
          <w:sz w:val="25"/>
          <w:szCs w:val="25"/>
        </w:rPr>
      </w:pPr>
    </w:p>
    <w:p w14:paraId="13E72960" w14:textId="77777777" w:rsidR="008802DD" w:rsidRPr="008802DD" w:rsidRDefault="008802DD" w:rsidP="002B1241">
      <w:pPr>
        <w:pStyle w:val="Prrafodelista"/>
        <w:spacing w:after="0" w:line="240" w:lineRule="auto"/>
        <w:ind w:left="709"/>
        <w:jc w:val="both"/>
        <w:rPr>
          <w:rFonts w:ascii="Arial" w:hAnsi="Arial" w:cs="Arial"/>
          <w:sz w:val="25"/>
          <w:szCs w:val="25"/>
        </w:rPr>
      </w:pPr>
      <w:r w:rsidRPr="008802DD">
        <w:rPr>
          <w:rFonts w:ascii="Arial" w:hAnsi="Arial" w:cs="Arial"/>
          <w:sz w:val="25"/>
          <w:szCs w:val="25"/>
        </w:rPr>
        <w:t>Este indicador incluye los siguientes rubros del Catálogo Único de Información Financiera con fines de supervisión:</w:t>
      </w:r>
    </w:p>
    <w:p w14:paraId="262AFE5A" w14:textId="77777777" w:rsidR="008802DD" w:rsidRPr="008802DD" w:rsidRDefault="008802DD" w:rsidP="008802DD">
      <w:pPr>
        <w:pStyle w:val="Prrafodelista"/>
        <w:spacing w:after="0" w:line="240" w:lineRule="auto"/>
        <w:ind w:left="831"/>
        <w:jc w:val="both"/>
        <w:rPr>
          <w:rFonts w:ascii="Arial" w:hAnsi="Arial" w:cs="Arial"/>
          <w:b/>
          <w:sz w:val="25"/>
          <w:szCs w:val="25"/>
        </w:rPr>
      </w:pPr>
    </w:p>
    <w:p w14:paraId="5A6C7831" w14:textId="77777777" w:rsidR="008802DD" w:rsidRPr="008802DD" w:rsidRDefault="008802DD" w:rsidP="002B1241">
      <w:pPr>
        <w:pStyle w:val="Prrafodelista"/>
        <w:numPr>
          <w:ilvl w:val="0"/>
          <w:numId w:val="1"/>
        </w:numPr>
        <w:spacing w:after="0" w:line="240" w:lineRule="auto"/>
        <w:ind w:left="1134" w:hanging="426"/>
        <w:jc w:val="both"/>
        <w:rPr>
          <w:rFonts w:ascii="Arial" w:hAnsi="Arial" w:cs="Arial"/>
          <w:sz w:val="25"/>
          <w:szCs w:val="25"/>
        </w:rPr>
      </w:pPr>
      <w:r w:rsidRPr="008802DD">
        <w:rPr>
          <w:rFonts w:ascii="Arial" w:hAnsi="Arial" w:cs="Arial"/>
          <w:b/>
          <w:sz w:val="25"/>
          <w:szCs w:val="25"/>
        </w:rPr>
        <w:t>Multas, sanciones y otros pasivos estimados (numerador)</w:t>
      </w:r>
      <w:r w:rsidRPr="008802DD">
        <w:rPr>
          <w:rFonts w:ascii="Arial" w:hAnsi="Arial" w:cs="Arial"/>
          <w:sz w:val="25"/>
          <w:szCs w:val="25"/>
        </w:rPr>
        <w:t>. 252900 + 281300 + 281400 + 281900</w:t>
      </w:r>
    </w:p>
    <w:p w14:paraId="0E4BE42B" w14:textId="77777777" w:rsidR="008802DD" w:rsidRPr="008802DD" w:rsidRDefault="008802DD" w:rsidP="002B1241">
      <w:pPr>
        <w:pStyle w:val="Prrafodelista"/>
        <w:spacing w:after="0" w:line="240" w:lineRule="auto"/>
        <w:ind w:left="1134" w:hanging="426"/>
        <w:jc w:val="both"/>
        <w:rPr>
          <w:rFonts w:ascii="Arial" w:hAnsi="Arial" w:cs="Arial"/>
          <w:sz w:val="25"/>
          <w:szCs w:val="25"/>
        </w:rPr>
      </w:pPr>
    </w:p>
    <w:p w14:paraId="107CFC79" w14:textId="77777777" w:rsidR="008802DD" w:rsidRDefault="008802DD" w:rsidP="002B1241">
      <w:pPr>
        <w:pStyle w:val="Prrafodelista"/>
        <w:numPr>
          <w:ilvl w:val="0"/>
          <w:numId w:val="1"/>
        </w:numPr>
        <w:spacing w:after="0" w:line="240" w:lineRule="auto"/>
        <w:ind w:left="1134" w:hanging="426"/>
        <w:jc w:val="both"/>
        <w:rPr>
          <w:rFonts w:ascii="Arial" w:hAnsi="Arial" w:cs="Arial"/>
          <w:sz w:val="25"/>
          <w:szCs w:val="25"/>
        </w:rPr>
      </w:pPr>
      <w:r w:rsidRPr="008802DD">
        <w:rPr>
          <w:rFonts w:ascii="Arial" w:hAnsi="Arial" w:cs="Arial"/>
          <w:b/>
          <w:sz w:val="25"/>
          <w:szCs w:val="25"/>
        </w:rPr>
        <w:t>Patrimonio total (denominador)</w:t>
      </w:r>
      <w:r w:rsidRPr="008802DD">
        <w:rPr>
          <w:rFonts w:ascii="Arial" w:hAnsi="Arial" w:cs="Arial"/>
          <w:sz w:val="25"/>
          <w:szCs w:val="25"/>
        </w:rPr>
        <w:t xml:space="preserve">. 300000 </w:t>
      </w:r>
    </w:p>
    <w:p w14:paraId="25EE5FF0" w14:textId="77777777" w:rsidR="00470326" w:rsidRPr="00470326" w:rsidRDefault="00470326" w:rsidP="00470326">
      <w:pPr>
        <w:pStyle w:val="Prrafodelista"/>
        <w:rPr>
          <w:rFonts w:ascii="Arial" w:hAnsi="Arial" w:cs="Arial"/>
          <w:sz w:val="25"/>
          <w:szCs w:val="25"/>
        </w:rPr>
      </w:pPr>
    </w:p>
    <w:p w14:paraId="44E33395" w14:textId="77777777" w:rsidR="00470326" w:rsidRDefault="00470326" w:rsidP="00E26D1F">
      <w:pPr>
        <w:pStyle w:val="Prrafodelista"/>
        <w:spacing w:after="0" w:line="240" w:lineRule="auto"/>
        <w:ind w:left="1560"/>
        <w:jc w:val="both"/>
        <w:rPr>
          <w:rFonts w:ascii="Arial" w:hAnsi="Arial" w:cs="Arial"/>
          <w:sz w:val="25"/>
          <w:szCs w:val="25"/>
        </w:rPr>
      </w:pPr>
    </w:p>
    <w:p w14:paraId="5B3EBA36" w14:textId="77777777" w:rsidR="001A7441" w:rsidRDefault="001A7441" w:rsidP="001A7441">
      <w:pPr>
        <w:pStyle w:val="Prrafodelista"/>
        <w:spacing w:after="0" w:line="240" w:lineRule="auto"/>
        <w:ind w:left="831"/>
        <w:jc w:val="both"/>
        <w:rPr>
          <w:rFonts w:ascii="Arial" w:hAnsi="Arial" w:cs="Arial"/>
          <w:b/>
          <w:sz w:val="25"/>
          <w:szCs w:val="25"/>
        </w:rPr>
      </w:pPr>
      <w:r w:rsidRPr="008802DD">
        <w:rPr>
          <w:rFonts w:ascii="Arial" w:hAnsi="Arial" w:cs="Arial"/>
          <w:b/>
          <w:sz w:val="25"/>
          <w:szCs w:val="25"/>
        </w:rPr>
        <w:t>4.3.</w:t>
      </w:r>
      <w:r w:rsidR="00B56C0A">
        <w:rPr>
          <w:rFonts w:ascii="Arial" w:hAnsi="Arial" w:cs="Arial"/>
          <w:b/>
          <w:sz w:val="25"/>
          <w:szCs w:val="25"/>
        </w:rPr>
        <w:t>2</w:t>
      </w:r>
      <w:r w:rsidRPr="008802DD">
        <w:rPr>
          <w:rFonts w:ascii="Arial" w:hAnsi="Arial" w:cs="Arial"/>
          <w:b/>
          <w:sz w:val="25"/>
          <w:szCs w:val="25"/>
        </w:rPr>
        <w:t xml:space="preserve"> </w:t>
      </w:r>
      <w:r w:rsidRPr="00ED20E6">
        <w:rPr>
          <w:rFonts w:ascii="Arial" w:hAnsi="Arial" w:cs="Arial"/>
          <w:b/>
          <w:sz w:val="25"/>
          <w:szCs w:val="25"/>
        </w:rPr>
        <w:t>Provisiones net</w:t>
      </w:r>
      <w:r w:rsidR="00AF7F62">
        <w:rPr>
          <w:rFonts w:ascii="Arial" w:hAnsi="Arial" w:cs="Arial"/>
          <w:b/>
          <w:sz w:val="25"/>
          <w:szCs w:val="25"/>
        </w:rPr>
        <w:t>a</w:t>
      </w:r>
      <w:r w:rsidRPr="00ED20E6">
        <w:rPr>
          <w:rFonts w:ascii="Arial" w:hAnsi="Arial" w:cs="Arial"/>
          <w:b/>
          <w:sz w:val="25"/>
          <w:szCs w:val="25"/>
        </w:rPr>
        <w:t>s de recuperación acumulado trimestral / Margen financiero bruto</w:t>
      </w:r>
    </w:p>
    <w:p w14:paraId="107A96B7" w14:textId="77777777" w:rsidR="001A7441" w:rsidRPr="008802DD" w:rsidRDefault="001A7441" w:rsidP="001A7441">
      <w:pPr>
        <w:pStyle w:val="Prrafodelista"/>
        <w:spacing w:after="0" w:line="240" w:lineRule="auto"/>
        <w:ind w:left="831"/>
        <w:jc w:val="both"/>
        <w:rPr>
          <w:rFonts w:ascii="Arial" w:hAnsi="Arial" w:cs="Arial"/>
          <w:sz w:val="25"/>
          <w:szCs w:val="25"/>
        </w:rPr>
      </w:pPr>
    </w:p>
    <w:p w14:paraId="49F4AFF0" w14:textId="77777777" w:rsidR="001A7441" w:rsidRPr="008802DD" w:rsidRDefault="001A7441" w:rsidP="002B1241">
      <w:pPr>
        <w:pStyle w:val="Prrafodelista"/>
        <w:spacing w:after="0" w:line="240" w:lineRule="auto"/>
        <w:ind w:left="709"/>
        <w:jc w:val="both"/>
        <w:rPr>
          <w:rStyle w:val="nfasis"/>
          <w:rFonts w:ascii="Arial" w:hAnsi="Arial" w:cs="Arial"/>
          <w:bCs/>
          <w:i w:val="0"/>
          <w:iCs w:val="0"/>
          <w:sz w:val="25"/>
          <w:szCs w:val="25"/>
          <w:shd w:val="clear" w:color="auto" w:fill="FFFFFF"/>
        </w:rPr>
      </w:pPr>
      <w:r w:rsidRPr="008802DD">
        <w:rPr>
          <w:rFonts w:ascii="Arial" w:hAnsi="Arial" w:cs="Arial"/>
          <w:sz w:val="25"/>
          <w:szCs w:val="25"/>
        </w:rPr>
        <w:t>Este indicador incluye los siguientes rubros del C</w:t>
      </w:r>
      <w:r w:rsidRPr="008802DD">
        <w:rPr>
          <w:rStyle w:val="nfasis"/>
          <w:rFonts w:ascii="Arial" w:hAnsi="Arial" w:cs="Arial"/>
          <w:bCs/>
          <w:i w:val="0"/>
          <w:iCs w:val="0"/>
          <w:sz w:val="25"/>
          <w:szCs w:val="25"/>
          <w:shd w:val="clear" w:color="auto" w:fill="FFFFFF"/>
        </w:rPr>
        <w:t>atálogo Único de</w:t>
      </w:r>
      <w:r w:rsidRPr="008802DD">
        <w:rPr>
          <w:rStyle w:val="apple-converted-space"/>
          <w:rFonts w:ascii="Arial" w:hAnsi="Arial" w:cs="Arial"/>
          <w:sz w:val="25"/>
          <w:szCs w:val="25"/>
          <w:shd w:val="clear" w:color="auto" w:fill="FFFFFF"/>
        </w:rPr>
        <w:t> </w:t>
      </w:r>
      <w:r w:rsidRPr="008802DD">
        <w:rPr>
          <w:rFonts w:ascii="Arial" w:hAnsi="Arial" w:cs="Arial"/>
          <w:sz w:val="25"/>
          <w:szCs w:val="25"/>
          <w:shd w:val="clear" w:color="auto" w:fill="FFFFFF"/>
        </w:rPr>
        <w:t>Información Financiera con fines de</w:t>
      </w:r>
      <w:r w:rsidRPr="008802DD">
        <w:rPr>
          <w:rStyle w:val="apple-converted-space"/>
          <w:rFonts w:ascii="Arial" w:hAnsi="Arial" w:cs="Arial"/>
          <w:sz w:val="25"/>
          <w:szCs w:val="25"/>
          <w:shd w:val="clear" w:color="auto" w:fill="FFFFFF"/>
        </w:rPr>
        <w:t> </w:t>
      </w:r>
      <w:r w:rsidRPr="008802DD">
        <w:rPr>
          <w:rStyle w:val="nfasis"/>
          <w:rFonts w:ascii="Arial" w:hAnsi="Arial" w:cs="Arial"/>
          <w:bCs/>
          <w:i w:val="0"/>
          <w:iCs w:val="0"/>
          <w:sz w:val="25"/>
          <w:szCs w:val="25"/>
          <w:shd w:val="clear" w:color="auto" w:fill="FFFFFF"/>
        </w:rPr>
        <w:t>supervisión:</w:t>
      </w:r>
    </w:p>
    <w:p w14:paraId="4B0E72A3" w14:textId="77777777" w:rsidR="001A7441" w:rsidRPr="008802DD" w:rsidRDefault="001A7441" w:rsidP="001A7441">
      <w:pPr>
        <w:pStyle w:val="Prrafodelista"/>
        <w:spacing w:after="0" w:line="240" w:lineRule="auto"/>
        <w:ind w:left="0"/>
        <w:jc w:val="both"/>
        <w:rPr>
          <w:rFonts w:ascii="Arial" w:hAnsi="Arial" w:cs="Arial"/>
          <w:b/>
          <w:sz w:val="25"/>
          <w:szCs w:val="25"/>
        </w:rPr>
      </w:pPr>
    </w:p>
    <w:p w14:paraId="0450B900" w14:textId="77777777" w:rsidR="001A7441" w:rsidRPr="008802DD" w:rsidRDefault="001A7441" w:rsidP="002B1241">
      <w:pPr>
        <w:pStyle w:val="Prrafodelista"/>
        <w:numPr>
          <w:ilvl w:val="0"/>
          <w:numId w:val="1"/>
        </w:numPr>
        <w:spacing w:after="0" w:line="240" w:lineRule="auto"/>
        <w:ind w:left="1134" w:hanging="426"/>
        <w:jc w:val="both"/>
        <w:rPr>
          <w:rFonts w:ascii="Arial" w:hAnsi="Arial" w:cs="Arial"/>
          <w:sz w:val="25"/>
          <w:szCs w:val="25"/>
        </w:rPr>
      </w:pPr>
      <w:r w:rsidRPr="00ED20E6">
        <w:rPr>
          <w:rFonts w:ascii="Arial" w:hAnsi="Arial" w:cs="Arial"/>
          <w:b/>
          <w:sz w:val="25"/>
          <w:szCs w:val="25"/>
        </w:rPr>
        <w:t>Provisiones netas de recuperación (numerador)</w:t>
      </w:r>
      <w:r>
        <w:rPr>
          <w:rFonts w:ascii="Arial" w:hAnsi="Arial" w:cs="Arial"/>
          <w:b/>
          <w:sz w:val="25"/>
          <w:szCs w:val="25"/>
        </w:rPr>
        <w:t>.</w:t>
      </w:r>
      <w:r w:rsidRPr="00ED20E6">
        <w:rPr>
          <w:rFonts w:ascii="Arial" w:hAnsi="Arial" w:cs="Arial"/>
          <w:b/>
          <w:sz w:val="25"/>
          <w:szCs w:val="25"/>
        </w:rPr>
        <w:t xml:space="preserve"> </w:t>
      </w:r>
      <w:r w:rsidRPr="00ED20E6">
        <w:rPr>
          <w:rFonts w:ascii="Arial" w:hAnsi="Arial" w:cs="Arial"/>
          <w:sz w:val="25"/>
          <w:szCs w:val="25"/>
        </w:rPr>
        <w:t>517005+517010+517015+517100-517125-419810-419815-419820-419825-419830-419835-419840</w:t>
      </w:r>
      <w:r w:rsidR="001D6D63">
        <w:rPr>
          <w:rFonts w:ascii="Arial" w:hAnsi="Arial" w:cs="Arial"/>
          <w:sz w:val="25"/>
          <w:szCs w:val="25"/>
        </w:rPr>
        <w:t xml:space="preserve">. </w:t>
      </w:r>
      <w:r w:rsidR="001D6D63" w:rsidRPr="001D6D63">
        <w:rPr>
          <w:rFonts w:ascii="Arial" w:hAnsi="Arial" w:cs="Arial"/>
          <w:sz w:val="25"/>
          <w:szCs w:val="25"/>
        </w:rPr>
        <w:t>El numerador corresponde a las provisiones netas de recuperación de cartera de créditos y leasing acumuladas durante los últimos tres meses contados a partir de la fecha de corte de la calificación.</w:t>
      </w:r>
    </w:p>
    <w:p w14:paraId="27D5EA0D" w14:textId="77777777" w:rsidR="001A7441" w:rsidRPr="008802DD" w:rsidRDefault="001A7441" w:rsidP="002B1241">
      <w:pPr>
        <w:pStyle w:val="Prrafodelista"/>
        <w:spacing w:after="0" w:line="240" w:lineRule="auto"/>
        <w:ind w:left="1134" w:hanging="426"/>
        <w:jc w:val="both"/>
        <w:rPr>
          <w:rFonts w:ascii="Arial" w:hAnsi="Arial" w:cs="Arial"/>
          <w:sz w:val="25"/>
          <w:szCs w:val="25"/>
        </w:rPr>
      </w:pPr>
    </w:p>
    <w:p w14:paraId="5480BF46" w14:textId="77777777" w:rsidR="001A7441" w:rsidRDefault="001A7441" w:rsidP="002B1241">
      <w:pPr>
        <w:pStyle w:val="Prrafodelista"/>
        <w:numPr>
          <w:ilvl w:val="0"/>
          <w:numId w:val="1"/>
        </w:numPr>
        <w:spacing w:after="0" w:line="240" w:lineRule="auto"/>
        <w:ind w:left="1134" w:hanging="426"/>
        <w:jc w:val="both"/>
        <w:rPr>
          <w:rFonts w:ascii="Arial" w:hAnsi="Arial" w:cs="Arial"/>
          <w:sz w:val="25"/>
          <w:szCs w:val="25"/>
        </w:rPr>
      </w:pPr>
      <w:r w:rsidRPr="00ED20E6">
        <w:rPr>
          <w:rFonts w:ascii="Arial" w:hAnsi="Arial" w:cs="Arial"/>
          <w:b/>
          <w:sz w:val="25"/>
          <w:szCs w:val="25"/>
        </w:rPr>
        <w:t>Margen Financiero Bruto (denominador)</w:t>
      </w:r>
      <w:r>
        <w:rPr>
          <w:rFonts w:ascii="Arial" w:hAnsi="Arial" w:cs="Arial"/>
          <w:b/>
          <w:sz w:val="25"/>
          <w:szCs w:val="25"/>
        </w:rPr>
        <w:t>.</w:t>
      </w:r>
      <w:r w:rsidRPr="00ED20E6">
        <w:rPr>
          <w:rFonts w:ascii="Arial" w:hAnsi="Arial" w:cs="Arial"/>
          <w:b/>
          <w:sz w:val="25"/>
          <w:szCs w:val="25"/>
        </w:rPr>
        <w:t xml:space="preserve"> </w:t>
      </w:r>
      <w:r w:rsidRPr="00773241">
        <w:rPr>
          <w:rFonts w:ascii="Arial" w:hAnsi="Arial" w:cs="Arial"/>
          <w:sz w:val="25"/>
          <w:szCs w:val="25"/>
        </w:rPr>
        <w:t xml:space="preserve">(410202 + 410204 + 410206 + 410208 + 410210 + 410212 + 410214 + 410216 + 410218 + 410220 + 410222 + 410224 + 410228 + 410230 + 410232 + 410234 + 410236 + 410238 + 410240 + 410242 + 410244 + 410305 + 410375 + 410385 + 410395 + 411005 + 411010 + 411015 + 411405 + 419625 + 419630 + 419635 + 419640) – (510205 + 510210 + 510215 + 510220 + 510225 + 510230 + 510295 + 510297 + 510305 + 510315 + 510320 + 510325 + 510397 + 510405 + 510415 + 510420 + 510425 + 510440 + 510445 + 510450 + 510475 + 510495 + 511005 + 511010 + 511015 + 511020 + 511025 + 511035) + (410315 + 410600 + 410700 + 410800 + 410900 + 411100 + 411200 + 411410 + 411500 + 411700 + 412300 + 412500 + 412700 + 412800 + 412900 + 413500 + 413900 + 414000 + 414500 + </w:t>
      </w:r>
      <w:r w:rsidRPr="00773241">
        <w:rPr>
          <w:rFonts w:ascii="Arial" w:hAnsi="Arial" w:cs="Arial"/>
          <w:sz w:val="25"/>
          <w:szCs w:val="25"/>
        </w:rPr>
        <w:lastRenderedPageBreak/>
        <w:t>417200 + 419500 + 419605 + 419620) – ( 510600 + 510700 + 510800 + 511200 + 511500 + 511700 + 512300 + 512500 + 512700 + 512800 + 512900 + 513500 + 513900</w:t>
      </w:r>
      <w:r w:rsidR="00216B4C">
        <w:rPr>
          <w:rFonts w:ascii="Arial" w:hAnsi="Arial" w:cs="Arial"/>
          <w:sz w:val="25"/>
          <w:szCs w:val="25"/>
        </w:rPr>
        <w:t>)</w:t>
      </w:r>
    </w:p>
    <w:p w14:paraId="6A36D65D" w14:textId="77777777" w:rsidR="00E26D1F" w:rsidRDefault="00E26D1F" w:rsidP="00151F79">
      <w:pPr>
        <w:ind w:left="708"/>
        <w:jc w:val="both"/>
        <w:rPr>
          <w:rFonts w:ascii="Arial" w:hAnsi="Arial" w:cs="Arial"/>
          <w:sz w:val="25"/>
          <w:szCs w:val="25"/>
        </w:rPr>
      </w:pPr>
    </w:p>
    <w:p w14:paraId="54CAAA3D" w14:textId="77777777" w:rsidR="0074498B" w:rsidRPr="00151F79" w:rsidRDefault="0074498B" w:rsidP="00151F79">
      <w:pPr>
        <w:ind w:left="708"/>
        <w:jc w:val="both"/>
        <w:rPr>
          <w:rFonts w:ascii="Arial" w:hAnsi="Arial" w:cs="Arial"/>
          <w:sz w:val="25"/>
          <w:szCs w:val="25"/>
        </w:rPr>
      </w:pPr>
      <w:r>
        <w:rPr>
          <w:rFonts w:ascii="Arial" w:hAnsi="Arial" w:cs="Arial"/>
          <w:sz w:val="25"/>
          <w:szCs w:val="25"/>
        </w:rPr>
        <w:t xml:space="preserve">Cuando el Margen Financiero Bruto sea menor a cero, la calificación del indicador será igual 1. </w:t>
      </w:r>
    </w:p>
    <w:p w14:paraId="7DF1DB0B" w14:textId="77777777" w:rsidR="001A7441" w:rsidRPr="008802DD" w:rsidRDefault="001A7441" w:rsidP="001A7441">
      <w:pPr>
        <w:pStyle w:val="Prrafodelista"/>
        <w:spacing w:after="0" w:line="240" w:lineRule="auto"/>
        <w:ind w:left="1191"/>
        <w:jc w:val="both"/>
        <w:rPr>
          <w:rFonts w:ascii="Arial" w:hAnsi="Arial" w:cs="Arial"/>
          <w:sz w:val="25"/>
          <w:szCs w:val="25"/>
        </w:rPr>
      </w:pPr>
    </w:p>
    <w:p w14:paraId="426D42FC" w14:textId="77777777" w:rsidR="001A7441" w:rsidRPr="008802DD" w:rsidRDefault="001A7441" w:rsidP="002B1241">
      <w:pPr>
        <w:pStyle w:val="Prrafodelista"/>
        <w:spacing w:after="0" w:line="240" w:lineRule="auto"/>
        <w:ind w:left="709"/>
        <w:jc w:val="both"/>
        <w:rPr>
          <w:rFonts w:ascii="Arial" w:hAnsi="Arial" w:cs="Arial"/>
          <w:sz w:val="25"/>
          <w:szCs w:val="25"/>
        </w:rPr>
      </w:pPr>
      <w:r w:rsidRPr="008802DD">
        <w:rPr>
          <w:rFonts w:ascii="Arial" w:hAnsi="Arial" w:cs="Arial"/>
          <w:b/>
          <w:sz w:val="25"/>
          <w:szCs w:val="25"/>
        </w:rPr>
        <w:t>4.3.</w:t>
      </w:r>
      <w:r>
        <w:rPr>
          <w:rFonts w:ascii="Arial" w:hAnsi="Arial" w:cs="Arial"/>
          <w:b/>
          <w:sz w:val="25"/>
          <w:szCs w:val="25"/>
        </w:rPr>
        <w:t>3</w:t>
      </w:r>
      <w:r w:rsidRPr="008802DD">
        <w:rPr>
          <w:rFonts w:ascii="Arial" w:hAnsi="Arial" w:cs="Arial"/>
          <w:b/>
          <w:sz w:val="25"/>
          <w:szCs w:val="25"/>
        </w:rPr>
        <w:t xml:space="preserve"> </w:t>
      </w:r>
      <w:r w:rsidRPr="001A7441">
        <w:rPr>
          <w:rFonts w:ascii="Arial" w:hAnsi="Arial" w:cs="Arial"/>
          <w:b/>
          <w:sz w:val="25"/>
          <w:szCs w:val="25"/>
        </w:rPr>
        <w:t>Calificación componente Auditoría Interna del Marco Integral de Supervisión</w:t>
      </w:r>
    </w:p>
    <w:p w14:paraId="74AF9F7A" w14:textId="77777777" w:rsidR="001A7441" w:rsidRDefault="001A7441" w:rsidP="001A7441">
      <w:pPr>
        <w:pStyle w:val="Prrafodelista"/>
        <w:spacing w:after="0" w:line="240" w:lineRule="auto"/>
        <w:ind w:left="993"/>
        <w:jc w:val="both"/>
        <w:rPr>
          <w:rFonts w:ascii="Arial" w:hAnsi="Arial" w:cs="Arial"/>
          <w:sz w:val="25"/>
          <w:szCs w:val="25"/>
        </w:rPr>
      </w:pPr>
    </w:p>
    <w:p w14:paraId="1085F4AC" w14:textId="77777777" w:rsidR="001A7441" w:rsidRPr="008802DD" w:rsidRDefault="001A7441" w:rsidP="002B1241">
      <w:pPr>
        <w:pStyle w:val="Prrafodelista"/>
        <w:spacing w:after="0" w:line="240" w:lineRule="auto"/>
        <w:ind w:left="709"/>
        <w:jc w:val="both"/>
        <w:rPr>
          <w:rFonts w:ascii="Arial" w:hAnsi="Arial" w:cs="Arial"/>
          <w:b/>
          <w:sz w:val="25"/>
          <w:szCs w:val="25"/>
        </w:rPr>
      </w:pPr>
      <w:r w:rsidRPr="001A7441">
        <w:rPr>
          <w:rFonts w:ascii="Arial" w:hAnsi="Arial" w:cs="Arial"/>
          <w:sz w:val="25"/>
          <w:szCs w:val="25"/>
        </w:rPr>
        <w:t>Este indicador toma el último valor que la Superintendencia Financiera de Colombia le asigne al componente de Auditoría Interna de la matriz de riesgo del Marco Integral de Supervisión.</w:t>
      </w:r>
    </w:p>
    <w:p w14:paraId="7E082CF1" w14:textId="77777777" w:rsidR="00ED20E6" w:rsidRPr="00ED20E6" w:rsidRDefault="00ED20E6" w:rsidP="00ED20E6">
      <w:pPr>
        <w:pStyle w:val="Prrafodelista"/>
        <w:rPr>
          <w:rFonts w:ascii="Arial" w:hAnsi="Arial" w:cs="Arial"/>
          <w:sz w:val="25"/>
          <w:szCs w:val="25"/>
        </w:rPr>
      </w:pPr>
    </w:p>
    <w:p w14:paraId="1AB11E2D" w14:textId="77777777" w:rsidR="008802DD" w:rsidRPr="008802DD" w:rsidRDefault="002B1241" w:rsidP="008802DD">
      <w:pPr>
        <w:pStyle w:val="Textoindependiente"/>
        <w:numPr>
          <w:ilvl w:val="1"/>
          <w:numId w:val="5"/>
        </w:numPr>
        <w:suppressAutoHyphens/>
        <w:rPr>
          <w:rFonts w:cs="Arial"/>
          <w:b/>
          <w:sz w:val="25"/>
          <w:szCs w:val="25"/>
        </w:rPr>
      </w:pPr>
      <w:r w:rsidRPr="008802DD">
        <w:rPr>
          <w:rFonts w:cs="Arial"/>
          <w:b/>
          <w:sz w:val="25"/>
          <w:szCs w:val="25"/>
        </w:rPr>
        <w:t xml:space="preserve">Exposición </w:t>
      </w:r>
      <w:r w:rsidR="007D7E9F">
        <w:rPr>
          <w:rFonts w:cs="Arial"/>
          <w:b/>
          <w:sz w:val="25"/>
          <w:szCs w:val="25"/>
        </w:rPr>
        <w:t>d</w:t>
      </w:r>
      <w:r w:rsidRPr="008802DD">
        <w:rPr>
          <w:rFonts w:cs="Arial"/>
          <w:b/>
          <w:sz w:val="25"/>
          <w:szCs w:val="25"/>
        </w:rPr>
        <w:t xml:space="preserve">el Seguro </w:t>
      </w:r>
      <w:r w:rsidR="007D7E9F">
        <w:rPr>
          <w:rFonts w:cs="Arial"/>
          <w:b/>
          <w:sz w:val="25"/>
          <w:szCs w:val="25"/>
        </w:rPr>
        <w:t>d</w:t>
      </w:r>
      <w:r w:rsidRPr="008802DD">
        <w:rPr>
          <w:rFonts w:cs="Arial"/>
          <w:b/>
          <w:sz w:val="25"/>
          <w:szCs w:val="25"/>
        </w:rPr>
        <w:t>e Depósitos</w:t>
      </w:r>
    </w:p>
    <w:p w14:paraId="17DF6B4F" w14:textId="77777777" w:rsidR="008802DD" w:rsidRPr="008802DD" w:rsidRDefault="008802DD" w:rsidP="008802DD">
      <w:pPr>
        <w:pStyle w:val="Prrafodelista"/>
        <w:spacing w:after="0" w:line="240" w:lineRule="auto"/>
        <w:ind w:left="360"/>
        <w:jc w:val="both"/>
        <w:rPr>
          <w:rFonts w:ascii="Arial" w:hAnsi="Arial" w:cs="Arial"/>
          <w:sz w:val="25"/>
          <w:szCs w:val="25"/>
        </w:rPr>
      </w:pPr>
    </w:p>
    <w:p w14:paraId="712469B2" w14:textId="77777777" w:rsidR="008802DD" w:rsidRPr="008802DD" w:rsidRDefault="008802DD" w:rsidP="008802DD">
      <w:pPr>
        <w:pStyle w:val="Prrafodelista"/>
        <w:spacing w:after="0" w:line="240" w:lineRule="auto"/>
        <w:ind w:left="831"/>
        <w:jc w:val="both"/>
        <w:rPr>
          <w:rFonts w:ascii="Arial" w:hAnsi="Arial" w:cs="Arial"/>
          <w:b/>
          <w:sz w:val="25"/>
          <w:szCs w:val="25"/>
        </w:rPr>
      </w:pPr>
      <w:r w:rsidRPr="008802DD">
        <w:rPr>
          <w:rFonts w:ascii="Arial" w:hAnsi="Arial" w:cs="Arial"/>
          <w:b/>
          <w:sz w:val="25"/>
          <w:szCs w:val="25"/>
        </w:rPr>
        <w:t>4.4.1 Depósitos asegurados / Depósitos asegurados totales del sistema</w:t>
      </w:r>
    </w:p>
    <w:p w14:paraId="1CF7D41E" w14:textId="77777777" w:rsidR="008802DD" w:rsidRPr="008802DD" w:rsidRDefault="008802DD" w:rsidP="008802DD">
      <w:pPr>
        <w:pStyle w:val="Prrafodelista"/>
        <w:spacing w:after="0" w:line="240" w:lineRule="auto"/>
        <w:ind w:left="831"/>
        <w:jc w:val="both"/>
        <w:rPr>
          <w:rFonts w:ascii="Arial" w:hAnsi="Arial" w:cs="Arial"/>
          <w:b/>
          <w:sz w:val="25"/>
          <w:szCs w:val="25"/>
        </w:rPr>
      </w:pPr>
    </w:p>
    <w:p w14:paraId="6A913F83" w14:textId="77777777" w:rsidR="008802DD" w:rsidRPr="008802DD" w:rsidRDefault="008802DD" w:rsidP="007D7E9F">
      <w:pPr>
        <w:pStyle w:val="Prrafodelista"/>
        <w:numPr>
          <w:ilvl w:val="0"/>
          <w:numId w:val="1"/>
        </w:numPr>
        <w:spacing w:after="0" w:line="240" w:lineRule="auto"/>
        <w:ind w:left="1134" w:hanging="426"/>
        <w:jc w:val="both"/>
        <w:rPr>
          <w:rFonts w:ascii="Arial" w:hAnsi="Arial" w:cs="Arial"/>
          <w:sz w:val="25"/>
          <w:szCs w:val="25"/>
        </w:rPr>
      </w:pPr>
      <w:r w:rsidRPr="008802DD">
        <w:rPr>
          <w:rFonts w:ascii="Arial" w:hAnsi="Arial" w:cs="Arial"/>
          <w:b/>
          <w:sz w:val="25"/>
          <w:szCs w:val="25"/>
        </w:rPr>
        <w:t>Depósitos asegurados (numerador)</w:t>
      </w:r>
      <w:r w:rsidRPr="008802DD">
        <w:rPr>
          <w:rFonts w:ascii="Arial" w:hAnsi="Arial" w:cs="Arial"/>
          <w:sz w:val="25"/>
          <w:szCs w:val="25"/>
        </w:rPr>
        <w:t>. Información tomada del Formato 459; unidad de captura 5; subcuentas 5, 10, 15, 25, 30, 35 y 40.</w:t>
      </w:r>
    </w:p>
    <w:p w14:paraId="613E82C4" w14:textId="77777777" w:rsidR="008802DD" w:rsidRPr="008802DD" w:rsidRDefault="008802DD" w:rsidP="007D7E9F">
      <w:pPr>
        <w:pStyle w:val="Prrafodelista"/>
        <w:spacing w:after="0" w:line="240" w:lineRule="auto"/>
        <w:ind w:left="1134"/>
        <w:jc w:val="both"/>
        <w:rPr>
          <w:rFonts w:ascii="Arial" w:hAnsi="Arial" w:cs="Arial"/>
          <w:sz w:val="25"/>
          <w:szCs w:val="25"/>
        </w:rPr>
      </w:pPr>
    </w:p>
    <w:p w14:paraId="362B94E9" w14:textId="77777777" w:rsidR="008802DD" w:rsidRPr="008802DD" w:rsidRDefault="008802DD" w:rsidP="007D7E9F">
      <w:pPr>
        <w:pStyle w:val="Prrafodelista"/>
        <w:numPr>
          <w:ilvl w:val="4"/>
          <w:numId w:val="3"/>
        </w:numPr>
        <w:spacing w:after="0" w:line="240" w:lineRule="auto"/>
        <w:ind w:left="1134"/>
        <w:jc w:val="both"/>
        <w:rPr>
          <w:rFonts w:ascii="Arial" w:hAnsi="Arial" w:cs="Arial"/>
          <w:sz w:val="25"/>
          <w:szCs w:val="25"/>
        </w:rPr>
      </w:pPr>
      <w:r w:rsidRPr="008802DD">
        <w:rPr>
          <w:rFonts w:ascii="Arial" w:hAnsi="Arial" w:cs="Arial"/>
          <w:sz w:val="25"/>
          <w:szCs w:val="25"/>
        </w:rPr>
        <w:t>Depósitos hasta $50.000.000: de las subcuentas 5, 10, 15, 25, 30 y 35 se toma el valor total, correspondiente a las columnas 3, 6, 9, 12 y 18 de cada una de las subcuentas, y se suma.</w:t>
      </w:r>
    </w:p>
    <w:p w14:paraId="40FC8437" w14:textId="77777777" w:rsidR="008802DD" w:rsidRPr="008802DD" w:rsidRDefault="008802DD" w:rsidP="007D7E9F">
      <w:pPr>
        <w:pStyle w:val="Prrafodelista"/>
        <w:spacing w:after="0" w:line="240" w:lineRule="auto"/>
        <w:ind w:left="1134"/>
        <w:jc w:val="both"/>
        <w:rPr>
          <w:rFonts w:ascii="Arial" w:hAnsi="Arial" w:cs="Arial"/>
          <w:sz w:val="25"/>
          <w:szCs w:val="25"/>
        </w:rPr>
      </w:pPr>
      <w:r w:rsidRPr="008802DD">
        <w:rPr>
          <w:rFonts w:ascii="Arial" w:hAnsi="Arial" w:cs="Arial"/>
          <w:sz w:val="25"/>
          <w:szCs w:val="25"/>
        </w:rPr>
        <w:t xml:space="preserve"> </w:t>
      </w:r>
    </w:p>
    <w:p w14:paraId="3268F617" w14:textId="77777777" w:rsidR="008802DD" w:rsidRPr="008802DD" w:rsidRDefault="008802DD" w:rsidP="007D7E9F">
      <w:pPr>
        <w:pStyle w:val="Prrafodelista"/>
        <w:numPr>
          <w:ilvl w:val="4"/>
          <w:numId w:val="3"/>
        </w:numPr>
        <w:spacing w:after="0" w:line="240" w:lineRule="auto"/>
        <w:ind w:left="1134"/>
        <w:jc w:val="both"/>
        <w:rPr>
          <w:rFonts w:ascii="Arial" w:hAnsi="Arial" w:cs="Arial"/>
          <w:sz w:val="25"/>
          <w:szCs w:val="25"/>
        </w:rPr>
      </w:pPr>
      <w:r w:rsidRPr="008802DD">
        <w:rPr>
          <w:rFonts w:ascii="Arial" w:hAnsi="Arial" w:cs="Arial"/>
          <w:sz w:val="25"/>
          <w:szCs w:val="25"/>
        </w:rPr>
        <w:t>Depósitos superiores a $50.000.000: de la subcuenta 40 se toma el número de clientes, correspondiente a las columnas 1, 4, 7, 10 y 16, se suma, y se multiplica por $50.000.000.</w:t>
      </w:r>
    </w:p>
    <w:p w14:paraId="7FB5AE76" w14:textId="77777777" w:rsidR="00AF7F62" w:rsidRDefault="00AF7F62" w:rsidP="008802DD">
      <w:pPr>
        <w:ind w:left="1191"/>
        <w:jc w:val="both"/>
        <w:rPr>
          <w:rFonts w:ascii="Arial" w:hAnsi="Arial" w:cs="Arial"/>
          <w:sz w:val="25"/>
          <w:szCs w:val="25"/>
        </w:rPr>
      </w:pPr>
    </w:p>
    <w:p w14:paraId="77F2EA76" w14:textId="77777777" w:rsidR="008802DD" w:rsidRPr="008802DD" w:rsidRDefault="008802DD" w:rsidP="007D7E9F">
      <w:pPr>
        <w:ind w:left="709"/>
        <w:jc w:val="both"/>
        <w:rPr>
          <w:rFonts w:ascii="Arial" w:hAnsi="Arial" w:cs="Arial"/>
          <w:sz w:val="25"/>
          <w:szCs w:val="25"/>
        </w:rPr>
      </w:pPr>
      <w:r w:rsidRPr="008802DD">
        <w:rPr>
          <w:rFonts w:ascii="Arial" w:hAnsi="Arial" w:cs="Arial"/>
          <w:sz w:val="25"/>
          <w:szCs w:val="25"/>
        </w:rPr>
        <w:t xml:space="preserve">Los depósitos asegurados equivalen a la suma de a) y b).  </w:t>
      </w:r>
    </w:p>
    <w:p w14:paraId="3D19ABFA" w14:textId="77777777" w:rsidR="008802DD" w:rsidRPr="008802DD" w:rsidRDefault="008802DD" w:rsidP="007D7E9F">
      <w:pPr>
        <w:ind w:left="709"/>
        <w:jc w:val="both"/>
        <w:rPr>
          <w:rFonts w:ascii="Arial" w:hAnsi="Arial" w:cs="Arial"/>
          <w:sz w:val="25"/>
          <w:szCs w:val="25"/>
        </w:rPr>
      </w:pPr>
    </w:p>
    <w:p w14:paraId="1CE75A15" w14:textId="77777777" w:rsidR="008802DD" w:rsidRPr="008802DD" w:rsidRDefault="008802DD" w:rsidP="007D7E9F">
      <w:pPr>
        <w:pStyle w:val="Prrafodelista"/>
        <w:numPr>
          <w:ilvl w:val="0"/>
          <w:numId w:val="1"/>
        </w:numPr>
        <w:spacing w:after="0" w:line="240" w:lineRule="auto"/>
        <w:ind w:left="709" w:hanging="426"/>
        <w:jc w:val="both"/>
        <w:rPr>
          <w:rFonts w:ascii="Arial" w:hAnsi="Arial" w:cs="Arial"/>
          <w:sz w:val="25"/>
          <w:szCs w:val="25"/>
        </w:rPr>
      </w:pPr>
      <w:r w:rsidRPr="008802DD">
        <w:rPr>
          <w:rFonts w:ascii="Arial" w:hAnsi="Arial" w:cs="Arial"/>
          <w:b/>
          <w:sz w:val="25"/>
          <w:szCs w:val="25"/>
        </w:rPr>
        <w:t>Depósitos asegurados totales del sistema (denominador)</w:t>
      </w:r>
      <w:r w:rsidRPr="008802DD">
        <w:rPr>
          <w:rFonts w:ascii="Arial" w:hAnsi="Arial" w:cs="Arial"/>
          <w:sz w:val="25"/>
          <w:szCs w:val="25"/>
        </w:rPr>
        <w:t>. Información tomada del Formato 459; unidad de captura 5; subcuentas 5, 10, 15, 25, 30, 35 y 40. Fogafín agregará la totalidad de los depósitos asegurados de los bancos, las compañías de financiamiento y las corporaciones financieras y pondrá esta información a disponibilidad de las entidades para que puedan calcular este indicador.</w:t>
      </w:r>
    </w:p>
    <w:p w14:paraId="72779D4F" w14:textId="77777777" w:rsidR="008802DD" w:rsidRPr="008802DD" w:rsidRDefault="008802DD" w:rsidP="008802DD">
      <w:pPr>
        <w:pStyle w:val="Prrafodelista"/>
        <w:spacing w:after="0" w:line="240" w:lineRule="auto"/>
        <w:ind w:left="1191"/>
        <w:jc w:val="both"/>
        <w:rPr>
          <w:rFonts w:ascii="Arial" w:hAnsi="Arial" w:cs="Arial"/>
          <w:sz w:val="25"/>
          <w:szCs w:val="25"/>
        </w:rPr>
      </w:pPr>
    </w:p>
    <w:p w14:paraId="71DADD0D" w14:textId="77777777" w:rsidR="008802DD" w:rsidRPr="008802DD" w:rsidRDefault="007D7E9F" w:rsidP="008802DD">
      <w:pPr>
        <w:pStyle w:val="Textoindependiente"/>
        <w:numPr>
          <w:ilvl w:val="1"/>
          <w:numId w:val="5"/>
        </w:numPr>
        <w:suppressAutoHyphens/>
        <w:rPr>
          <w:rFonts w:cs="Arial"/>
          <w:b/>
          <w:sz w:val="25"/>
          <w:szCs w:val="25"/>
        </w:rPr>
      </w:pPr>
      <w:r w:rsidRPr="008802DD">
        <w:rPr>
          <w:rFonts w:cs="Arial"/>
          <w:b/>
          <w:sz w:val="25"/>
          <w:szCs w:val="25"/>
        </w:rPr>
        <w:t>Rentabilidad</w:t>
      </w:r>
    </w:p>
    <w:p w14:paraId="745F3794" w14:textId="77777777" w:rsidR="008802DD" w:rsidRPr="008802DD" w:rsidRDefault="008802DD" w:rsidP="008802DD">
      <w:pPr>
        <w:pStyle w:val="Prrafodelista"/>
        <w:spacing w:after="0" w:line="240" w:lineRule="auto"/>
        <w:ind w:left="360"/>
        <w:jc w:val="both"/>
        <w:rPr>
          <w:rFonts w:ascii="Arial" w:hAnsi="Arial" w:cs="Arial"/>
          <w:sz w:val="25"/>
          <w:szCs w:val="25"/>
        </w:rPr>
      </w:pPr>
    </w:p>
    <w:p w14:paraId="03E40C59" w14:textId="77777777" w:rsidR="008802DD" w:rsidRPr="008802DD" w:rsidRDefault="008802DD" w:rsidP="008802DD">
      <w:pPr>
        <w:pStyle w:val="Prrafodelista"/>
        <w:spacing w:after="0" w:line="240" w:lineRule="auto"/>
        <w:ind w:left="831"/>
        <w:jc w:val="both"/>
        <w:rPr>
          <w:rFonts w:ascii="Arial" w:hAnsi="Arial" w:cs="Arial"/>
          <w:b/>
          <w:sz w:val="25"/>
          <w:szCs w:val="25"/>
        </w:rPr>
      </w:pPr>
      <w:r w:rsidRPr="008802DD">
        <w:rPr>
          <w:rFonts w:ascii="Arial" w:hAnsi="Arial" w:cs="Arial"/>
          <w:b/>
          <w:sz w:val="25"/>
          <w:szCs w:val="25"/>
        </w:rPr>
        <w:t xml:space="preserve">4.5.1 Utilidad / </w:t>
      </w:r>
      <w:r w:rsidR="00112595">
        <w:rPr>
          <w:rFonts w:ascii="Arial" w:hAnsi="Arial" w:cs="Arial"/>
          <w:b/>
          <w:sz w:val="25"/>
          <w:szCs w:val="25"/>
        </w:rPr>
        <w:t>Activo</w:t>
      </w:r>
      <w:r w:rsidRPr="008802DD">
        <w:rPr>
          <w:rFonts w:ascii="Arial" w:hAnsi="Arial" w:cs="Arial"/>
          <w:b/>
          <w:sz w:val="25"/>
          <w:szCs w:val="25"/>
        </w:rPr>
        <w:t xml:space="preserve"> promedio</w:t>
      </w:r>
    </w:p>
    <w:p w14:paraId="5EBA753E" w14:textId="77777777" w:rsidR="008802DD" w:rsidRPr="008802DD" w:rsidRDefault="008802DD" w:rsidP="008802DD">
      <w:pPr>
        <w:pStyle w:val="Prrafodelista"/>
        <w:spacing w:after="0" w:line="240" w:lineRule="auto"/>
        <w:ind w:left="831"/>
        <w:jc w:val="both"/>
        <w:rPr>
          <w:rFonts w:ascii="Arial" w:hAnsi="Arial" w:cs="Arial"/>
          <w:sz w:val="25"/>
          <w:szCs w:val="25"/>
        </w:rPr>
      </w:pPr>
    </w:p>
    <w:p w14:paraId="3230AD3B" w14:textId="77777777" w:rsidR="008802DD" w:rsidRPr="008802DD" w:rsidRDefault="008802DD" w:rsidP="007D7E9F">
      <w:pPr>
        <w:pStyle w:val="Prrafodelista"/>
        <w:spacing w:after="0" w:line="240" w:lineRule="auto"/>
        <w:ind w:left="709"/>
        <w:jc w:val="both"/>
        <w:rPr>
          <w:rFonts w:ascii="Arial" w:hAnsi="Arial" w:cs="Arial"/>
          <w:sz w:val="25"/>
          <w:szCs w:val="25"/>
        </w:rPr>
      </w:pPr>
      <w:r w:rsidRPr="008802DD">
        <w:rPr>
          <w:rFonts w:ascii="Arial" w:hAnsi="Arial" w:cs="Arial"/>
          <w:sz w:val="25"/>
          <w:szCs w:val="25"/>
        </w:rPr>
        <w:lastRenderedPageBreak/>
        <w:t>Este indicador incluye los siguientes rubros del C</w:t>
      </w:r>
      <w:r w:rsidRPr="008802DD">
        <w:rPr>
          <w:rStyle w:val="nfasis"/>
          <w:rFonts w:ascii="Arial" w:hAnsi="Arial" w:cs="Arial"/>
          <w:bCs/>
          <w:i w:val="0"/>
          <w:iCs w:val="0"/>
          <w:sz w:val="25"/>
          <w:szCs w:val="25"/>
          <w:shd w:val="clear" w:color="auto" w:fill="FFFFFF"/>
        </w:rPr>
        <w:t>atálogo Único de</w:t>
      </w:r>
      <w:r w:rsidRPr="008802DD">
        <w:rPr>
          <w:rStyle w:val="apple-converted-space"/>
          <w:rFonts w:ascii="Arial" w:hAnsi="Arial" w:cs="Arial"/>
          <w:sz w:val="25"/>
          <w:szCs w:val="25"/>
          <w:shd w:val="clear" w:color="auto" w:fill="FFFFFF"/>
        </w:rPr>
        <w:t> </w:t>
      </w:r>
      <w:r w:rsidRPr="008802DD">
        <w:rPr>
          <w:rFonts w:ascii="Arial" w:hAnsi="Arial" w:cs="Arial"/>
          <w:sz w:val="25"/>
          <w:szCs w:val="25"/>
          <w:shd w:val="clear" w:color="auto" w:fill="FFFFFF"/>
        </w:rPr>
        <w:t>Información Financiera con fines de</w:t>
      </w:r>
      <w:r w:rsidRPr="008802DD">
        <w:rPr>
          <w:rStyle w:val="apple-converted-space"/>
          <w:rFonts w:ascii="Arial" w:hAnsi="Arial" w:cs="Arial"/>
          <w:sz w:val="25"/>
          <w:szCs w:val="25"/>
          <w:shd w:val="clear" w:color="auto" w:fill="FFFFFF"/>
        </w:rPr>
        <w:t> </w:t>
      </w:r>
      <w:r w:rsidRPr="008802DD">
        <w:rPr>
          <w:rStyle w:val="nfasis"/>
          <w:rFonts w:ascii="Arial" w:hAnsi="Arial" w:cs="Arial"/>
          <w:bCs/>
          <w:i w:val="0"/>
          <w:iCs w:val="0"/>
          <w:sz w:val="25"/>
          <w:szCs w:val="25"/>
          <w:shd w:val="clear" w:color="auto" w:fill="FFFFFF"/>
        </w:rPr>
        <w:t>supervisión:</w:t>
      </w:r>
    </w:p>
    <w:p w14:paraId="107284E2" w14:textId="77777777" w:rsidR="008802DD" w:rsidRPr="008802DD" w:rsidRDefault="008802DD" w:rsidP="008802DD">
      <w:pPr>
        <w:pStyle w:val="Prrafodelista"/>
        <w:spacing w:after="0" w:line="240" w:lineRule="auto"/>
        <w:ind w:left="831"/>
        <w:jc w:val="both"/>
        <w:rPr>
          <w:rFonts w:ascii="Arial" w:hAnsi="Arial" w:cs="Arial"/>
          <w:b/>
          <w:sz w:val="25"/>
          <w:szCs w:val="25"/>
        </w:rPr>
      </w:pPr>
    </w:p>
    <w:p w14:paraId="14607A6A" w14:textId="77777777" w:rsidR="008802DD" w:rsidRPr="008802DD" w:rsidRDefault="008802DD" w:rsidP="007D7E9F">
      <w:pPr>
        <w:pStyle w:val="Prrafodelista"/>
        <w:numPr>
          <w:ilvl w:val="0"/>
          <w:numId w:val="1"/>
        </w:numPr>
        <w:spacing w:after="0" w:line="240" w:lineRule="auto"/>
        <w:ind w:left="1134" w:hanging="426"/>
        <w:jc w:val="both"/>
        <w:rPr>
          <w:rFonts w:ascii="Arial" w:hAnsi="Arial" w:cs="Arial"/>
          <w:sz w:val="25"/>
          <w:szCs w:val="25"/>
        </w:rPr>
      </w:pPr>
      <w:r w:rsidRPr="008802DD">
        <w:rPr>
          <w:rFonts w:ascii="Arial" w:hAnsi="Arial" w:cs="Arial"/>
          <w:b/>
          <w:sz w:val="25"/>
          <w:szCs w:val="25"/>
        </w:rPr>
        <w:t>Utilidad (numerador)</w:t>
      </w:r>
      <w:r w:rsidRPr="008802DD">
        <w:rPr>
          <w:rFonts w:ascii="Arial" w:hAnsi="Arial" w:cs="Arial"/>
          <w:sz w:val="25"/>
          <w:szCs w:val="25"/>
        </w:rPr>
        <w:t>. 590000</w:t>
      </w:r>
    </w:p>
    <w:p w14:paraId="544503B5" w14:textId="77777777" w:rsidR="008802DD" w:rsidRPr="008802DD" w:rsidRDefault="008802DD" w:rsidP="007D7E9F">
      <w:pPr>
        <w:pStyle w:val="Prrafodelista"/>
        <w:spacing w:after="0" w:line="240" w:lineRule="auto"/>
        <w:ind w:left="1134" w:hanging="426"/>
        <w:jc w:val="both"/>
        <w:rPr>
          <w:rFonts w:ascii="Arial" w:hAnsi="Arial" w:cs="Arial"/>
          <w:sz w:val="25"/>
          <w:szCs w:val="25"/>
        </w:rPr>
      </w:pPr>
    </w:p>
    <w:p w14:paraId="76AC105D" w14:textId="77777777" w:rsidR="008802DD" w:rsidRPr="008802DD" w:rsidRDefault="00AD6AB3" w:rsidP="007D7E9F">
      <w:pPr>
        <w:pStyle w:val="Prrafodelista"/>
        <w:numPr>
          <w:ilvl w:val="0"/>
          <w:numId w:val="1"/>
        </w:numPr>
        <w:spacing w:after="0" w:line="240" w:lineRule="auto"/>
        <w:ind w:left="1134" w:hanging="426"/>
        <w:jc w:val="both"/>
        <w:rPr>
          <w:rFonts w:ascii="Arial" w:hAnsi="Arial" w:cs="Arial"/>
          <w:sz w:val="25"/>
          <w:szCs w:val="25"/>
        </w:rPr>
      </w:pPr>
      <w:r>
        <w:rPr>
          <w:rFonts w:ascii="Arial" w:hAnsi="Arial" w:cs="Arial"/>
          <w:b/>
          <w:sz w:val="25"/>
          <w:szCs w:val="25"/>
        </w:rPr>
        <w:t>Activo</w:t>
      </w:r>
      <w:r w:rsidR="00094064">
        <w:rPr>
          <w:rFonts w:ascii="Arial" w:hAnsi="Arial" w:cs="Arial"/>
          <w:b/>
          <w:sz w:val="25"/>
          <w:szCs w:val="25"/>
        </w:rPr>
        <w:t xml:space="preserve"> </w:t>
      </w:r>
      <w:r w:rsidR="008802DD" w:rsidRPr="008802DD">
        <w:rPr>
          <w:rFonts w:ascii="Arial" w:hAnsi="Arial" w:cs="Arial"/>
          <w:b/>
          <w:sz w:val="25"/>
          <w:szCs w:val="25"/>
        </w:rPr>
        <w:t>promedio (denominador)</w:t>
      </w:r>
      <w:r w:rsidR="008802DD" w:rsidRPr="008802DD">
        <w:rPr>
          <w:rFonts w:ascii="Arial" w:hAnsi="Arial" w:cs="Arial"/>
          <w:sz w:val="25"/>
          <w:szCs w:val="25"/>
        </w:rPr>
        <w:t xml:space="preserve">. Está compuesto por el promedio de los últimos doce datos mensuales reportados en la cuenta </w:t>
      </w:r>
      <w:r>
        <w:rPr>
          <w:rFonts w:ascii="Arial" w:hAnsi="Arial" w:cs="Arial"/>
          <w:sz w:val="25"/>
          <w:szCs w:val="25"/>
        </w:rPr>
        <w:t>1</w:t>
      </w:r>
      <w:r w:rsidR="008802DD" w:rsidRPr="008802DD">
        <w:rPr>
          <w:rFonts w:ascii="Arial" w:hAnsi="Arial" w:cs="Arial"/>
          <w:sz w:val="25"/>
          <w:szCs w:val="25"/>
        </w:rPr>
        <w:t>00000.</w:t>
      </w:r>
    </w:p>
    <w:p w14:paraId="41FCC947" w14:textId="77777777" w:rsidR="008802DD" w:rsidRPr="008802DD" w:rsidRDefault="008802DD" w:rsidP="008802DD">
      <w:pPr>
        <w:pStyle w:val="Prrafodelista"/>
        <w:spacing w:after="0" w:line="240" w:lineRule="auto"/>
        <w:ind w:left="1191"/>
        <w:jc w:val="both"/>
        <w:rPr>
          <w:rFonts w:ascii="Arial" w:hAnsi="Arial" w:cs="Arial"/>
          <w:sz w:val="25"/>
          <w:szCs w:val="25"/>
        </w:rPr>
      </w:pPr>
    </w:p>
    <w:p w14:paraId="19C28EA0" w14:textId="77777777" w:rsidR="008802DD" w:rsidRPr="008802DD" w:rsidRDefault="008802DD" w:rsidP="008802DD">
      <w:pPr>
        <w:pStyle w:val="Prrafodelista"/>
        <w:spacing w:after="0" w:line="240" w:lineRule="auto"/>
        <w:ind w:left="831"/>
        <w:jc w:val="both"/>
        <w:rPr>
          <w:rFonts w:ascii="Arial" w:hAnsi="Arial" w:cs="Arial"/>
          <w:b/>
          <w:sz w:val="25"/>
          <w:szCs w:val="25"/>
        </w:rPr>
      </w:pPr>
      <w:r w:rsidRPr="008802DD">
        <w:rPr>
          <w:rFonts w:ascii="Arial" w:hAnsi="Arial" w:cs="Arial"/>
          <w:b/>
          <w:sz w:val="25"/>
          <w:szCs w:val="25"/>
        </w:rPr>
        <w:t>4.5.2 Utilidad / Desviación estándar de la utilidad de los últimos 24 meses</w:t>
      </w:r>
    </w:p>
    <w:p w14:paraId="57E63DD5" w14:textId="77777777" w:rsidR="008802DD" w:rsidRPr="008802DD" w:rsidRDefault="008802DD" w:rsidP="008802DD">
      <w:pPr>
        <w:pStyle w:val="Prrafodelista"/>
        <w:spacing w:after="0" w:line="240" w:lineRule="auto"/>
        <w:ind w:left="831"/>
        <w:jc w:val="both"/>
        <w:rPr>
          <w:rFonts w:ascii="Arial" w:hAnsi="Arial" w:cs="Arial"/>
          <w:sz w:val="25"/>
          <w:szCs w:val="25"/>
        </w:rPr>
      </w:pPr>
    </w:p>
    <w:p w14:paraId="36DEE693" w14:textId="77777777" w:rsidR="008802DD" w:rsidRPr="008802DD" w:rsidRDefault="008802DD" w:rsidP="007D7E9F">
      <w:pPr>
        <w:pStyle w:val="Prrafodelista"/>
        <w:spacing w:after="0" w:line="240" w:lineRule="auto"/>
        <w:ind w:left="709"/>
        <w:jc w:val="both"/>
        <w:rPr>
          <w:rFonts w:ascii="Arial" w:hAnsi="Arial" w:cs="Arial"/>
          <w:sz w:val="25"/>
          <w:szCs w:val="25"/>
        </w:rPr>
      </w:pPr>
      <w:r w:rsidRPr="008802DD">
        <w:rPr>
          <w:rFonts w:ascii="Arial" w:hAnsi="Arial" w:cs="Arial"/>
          <w:sz w:val="25"/>
          <w:szCs w:val="25"/>
        </w:rPr>
        <w:t>Este indicador incluye los siguientes rubros del C</w:t>
      </w:r>
      <w:r w:rsidRPr="008802DD">
        <w:rPr>
          <w:rStyle w:val="nfasis"/>
          <w:rFonts w:ascii="Arial" w:hAnsi="Arial" w:cs="Arial"/>
          <w:bCs/>
          <w:i w:val="0"/>
          <w:iCs w:val="0"/>
          <w:sz w:val="25"/>
          <w:szCs w:val="25"/>
          <w:shd w:val="clear" w:color="auto" w:fill="FFFFFF"/>
        </w:rPr>
        <w:t>atálogo Único de</w:t>
      </w:r>
      <w:r w:rsidRPr="008802DD">
        <w:rPr>
          <w:rStyle w:val="apple-converted-space"/>
          <w:rFonts w:ascii="Arial" w:hAnsi="Arial" w:cs="Arial"/>
          <w:sz w:val="25"/>
          <w:szCs w:val="25"/>
          <w:shd w:val="clear" w:color="auto" w:fill="FFFFFF"/>
        </w:rPr>
        <w:t> </w:t>
      </w:r>
      <w:r w:rsidRPr="008802DD">
        <w:rPr>
          <w:rFonts w:ascii="Arial" w:hAnsi="Arial" w:cs="Arial"/>
          <w:sz w:val="25"/>
          <w:szCs w:val="25"/>
          <w:shd w:val="clear" w:color="auto" w:fill="FFFFFF"/>
        </w:rPr>
        <w:t>Información Financiera con fines de</w:t>
      </w:r>
      <w:r w:rsidRPr="008802DD">
        <w:rPr>
          <w:rStyle w:val="apple-converted-space"/>
          <w:rFonts w:ascii="Arial" w:hAnsi="Arial" w:cs="Arial"/>
          <w:sz w:val="25"/>
          <w:szCs w:val="25"/>
          <w:shd w:val="clear" w:color="auto" w:fill="FFFFFF"/>
        </w:rPr>
        <w:t> </w:t>
      </w:r>
      <w:r w:rsidRPr="008802DD">
        <w:rPr>
          <w:rStyle w:val="nfasis"/>
          <w:rFonts w:ascii="Arial" w:hAnsi="Arial" w:cs="Arial"/>
          <w:bCs/>
          <w:i w:val="0"/>
          <w:iCs w:val="0"/>
          <w:sz w:val="25"/>
          <w:szCs w:val="25"/>
          <w:shd w:val="clear" w:color="auto" w:fill="FFFFFF"/>
        </w:rPr>
        <w:t>supervisión:</w:t>
      </w:r>
    </w:p>
    <w:p w14:paraId="20407936" w14:textId="77777777" w:rsidR="008802DD" w:rsidRPr="008802DD" w:rsidRDefault="008802DD" w:rsidP="008802DD">
      <w:pPr>
        <w:pStyle w:val="Prrafodelista"/>
        <w:spacing w:after="0" w:line="240" w:lineRule="auto"/>
        <w:ind w:left="831"/>
        <w:jc w:val="both"/>
        <w:rPr>
          <w:rFonts w:ascii="Arial" w:hAnsi="Arial" w:cs="Arial"/>
          <w:b/>
          <w:sz w:val="25"/>
          <w:szCs w:val="25"/>
        </w:rPr>
      </w:pPr>
    </w:p>
    <w:p w14:paraId="6476BDFE" w14:textId="77777777" w:rsidR="008802DD" w:rsidRPr="008802DD" w:rsidRDefault="008802DD" w:rsidP="007D7E9F">
      <w:pPr>
        <w:pStyle w:val="Prrafodelista"/>
        <w:numPr>
          <w:ilvl w:val="0"/>
          <w:numId w:val="1"/>
        </w:numPr>
        <w:spacing w:after="0" w:line="240" w:lineRule="auto"/>
        <w:ind w:left="1134" w:hanging="426"/>
        <w:jc w:val="both"/>
        <w:rPr>
          <w:rFonts w:ascii="Arial" w:hAnsi="Arial" w:cs="Arial"/>
          <w:sz w:val="25"/>
          <w:szCs w:val="25"/>
        </w:rPr>
      </w:pPr>
      <w:r w:rsidRPr="008802DD">
        <w:rPr>
          <w:rFonts w:ascii="Arial" w:hAnsi="Arial" w:cs="Arial"/>
          <w:b/>
          <w:sz w:val="25"/>
          <w:szCs w:val="25"/>
        </w:rPr>
        <w:t>Utilidad (numerador)</w:t>
      </w:r>
      <w:r w:rsidRPr="008802DD">
        <w:rPr>
          <w:rFonts w:ascii="Arial" w:hAnsi="Arial" w:cs="Arial"/>
          <w:sz w:val="25"/>
          <w:szCs w:val="25"/>
        </w:rPr>
        <w:t xml:space="preserve">. 590000 </w:t>
      </w:r>
    </w:p>
    <w:p w14:paraId="3A63AE03" w14:textId="77777777" w:rsidR="008802DD" w:rsidRPr="008802DD" w:rsidRDefault="008802DD" w:rsidP="007D7E9F">
      <w:pPr>
        <w:pStyle w:val="Prrafodelista"/>
        <w:spacing w:after="0" w:line="240" w:lineRule="auto"/>
        <w:ind w:left="1134" w:hanging="426"/>
        <w:jc w:val="both"/>
        <w:rPr>
          <w:rFonts w:ascii="Arial" w:hAnsi="Arial" w:cs="Arial"/>
          <w:sz w:val="25"/>
          <w:szCs w:val="25"/>
        </w:rPr>
      </w:pPr>
    </w:p>
    <w:p w14:paraId="1D1782C8" w14:textId="77777777" w:rsidR="008802DD" w:rsidRPr="008802DD" w:rsidRDefault="008802DD" w:rsidP="007D7E9F">
      <w:pPr>
        <w:pStyle w:val="Prrafodelista"/>
        <w:numPr>
          <w:ilvl w:val="0"/>
          <w:numId w:val="1"/>
        </w:numPr>
        <w:spacing w:after="0" w:line="240" w:lineRule="auto"/>
        <w:ind w:left="1134" w:hanging="426"/>
        <w:jc w:val="both"/>
        <w:rPr>
          <w:rFonts w:ascii="Arial" w:hAnsi="Arial" w:cs="Arial"/>
          <w:sz w:val="25"/>
          <w:szCs w:val="25"/>
        </w:rPr>
      </w:pPr>
      <w:r w:rsidRPr="008802DD">
        <w:rPr>
          <w:rFonts w:ascii="Arial" w:hAnsi="Arial" w:cs="Arial"/>
          <w:b/>
          <w:sz w:val="25"/>
          <w:szCs w:val="25"/>
        </w:rPr>
        <w:t>Desviación estándar de la utilidad de los últimos 24 meses (denominador)</w:t>
      </w:r>
      <w:r w:rsidRPr="008802DD">
        <w:rPr>
          <w:rFonts w:ascii="Arial" w:hAnsi="Arial" w:cs="Arial"/>
          <w:sz w:val="25"/>
          <w:szCs w:val="25"/>
        </w:rPr>
        <w:t xml:space="preserve">. </w:t>
      </w:r>
    </w:p>
    <w:p w14:paraId="2A00F665" w14:textId="77777777" w:rsidR="008802DD" w:rsidRPr="008802DD" w:rsidRDefault="008802DD" w:rsidP="008802DD">
      <w:pPr>
        <w:pStyle w:val="Prrafodelista"/>
        <w:spacing w:after="0" w:line="240" w:lineRule="auto"/>
        <w:ind w:left="1125"/>
        <w:rPr>
          <w:rFonts w:ascii="Arial" w:hAnsi="Arial" w:cs="Arial"/>
          <w:sz w:val="25"/>
          <w:szCs w:val="25"/>
          <w:highlight w:val="yellow"/>
        </w:rPr>
      </w:pPr>
    </w:p>
    <w:p w14:paraId="01F93BF7" w14:textId="77777777" w:rsidR="008802DD" w:rsidRPr="008802DD" w:rsidRDefault="006E486A" w:rsidP="008802DD">
      <w:pPr>
        <w:pStyle w:val="Prrafodelista"/>
        <w:spacing w:after="0" w:line="240" w:lineRule="auto"/>
        <w:ind w:left="1125"/>
        <w:jc w:val="center"/>
        <w:rPr>
          <w:rFonts w:ascii="Arial" w:hAnsi="Arial" w:cs="Arial"/>
          <w:sz w:val="25"/>
          <w:szCs w:val="25"/>
          <w:highlight w:val="yellow"/>
        </w:rPr>
      </w:pPr>
      <m:oMathPara>
        <m:oMath>
          <m:rad>
            <m:radPr>
              <m:ctrlPr>
                <w:rPr>
                  <w:rFonts w:ascii="Cambria Math" w:hAnsi="Cambria Math" w:cs="Arial"/>
                  <w:i/>
                  <w:sz w:val="25"/>
                  <w:szCs w:val="25"/>
                </w:rPr>
              </m:ctrlPr>
            </m:radPr>
            <m:deg>
              <m:r>
                <w:rPr>
                  <w:rFonts w:ascii="Cambria Math" w:hAnsi="Cambria Math" w:cs="Arial"/>
                  <w:sz w:val="25"/>
                  <w:szCs w:val="25"/>
                </w:rPr>
                <m:t xml:space="preserve"> </m:t>
              </m:r>
            </m:deg>
            <m:e>
              <m:f>
                <m:fPr>
                  <m:ctrlPr>
                    <w:rPr>
                      <w:rFonts w:ascii="Cambria Math" w:hAnsi="Cambria Math" w:cs="Arial"/>
                      <w:i/>
                      <w:sz w:val="25"/>
                      <w:szCs w:val="25"/>
                    </w:rPr>
                  </m:ctrlPr>
                </m:fPr>
                <m:num>
                  <m:nary>
                    <m:naryPr>
                      <m:chr m:val="∑"/>
                      <m:limLoc m:val="undOvr"/>
                      <m:ctrlPr>
                        <w:rPr>
                          <w:rFonts w:ascii="Cambria Math" w:hAnsi="Cambria Math" w:cs="Arial"/>
                          <w:i/>
                          <w:sz w:val="25"/>
                          <w:szCs w:val="25"/>
                        </w:rPr>
                      </m:ctrlPr>
                    </m:naryPr>
                    <m:sub>
                      <m:r>
                        <w:rPr>
                          <w:rFonts w:ascii="Cambria Math" w:hAnsi="Cambria Math" w:cs="Arial"/>
                          <w:sz w:val="25"/>
                          <w:szCs w:val="25"/>
                        </w:rPr>
                        <m:t>t</m:t>
                      </m:r>
                    </m:sub>
                    <m:sup>
                      <m:r>
                        <w:rPr>
                          <w:rFonts w:ascii="Cambria Math" w:hAnsi="Cambria Math" w:cs="Arial"/>
                          <w:sz w:val="25"/>
                          <w:szCs w:val="25"/>
                        </w:rPr>
                        <m:t>t-23</m:t>
                      </m:r>
                    </m:sup>
                    <m:e>
                      <m:sSup>
                        <m:sSupPr>
                          <m:ctrlPr>
                            <w:rPr>
                              <w:rFonts w:ascii="Cambria Math" w:hAnsi="Cambria Math" w:cs="Arial"/>
                              <w:i/>
                              <w:sz w:val="25"/>
                              <w:szCs w:val="25"/>
                            </w:rPr>
                          </m:ctrlPr>
                        </m:sSupPr>
                        <m:e>
                          <m:d>
                            <m:dPr>
                              <m:ctrlPr>
                                <w:rPr>
                                  <w:rFonts w:ascii="Cambria Math" w:hAnsi="Cambria Math" w:cs="Arial"/>
                                  <w:i/>
                                  <w:sz w:val="25"/>
                                  <w:szCs w:val="25"/>
                                </w:rPr>
                              </m:ctrlPr>
                            </m:dPr>
                            <m:e>
                              <m:sSub>
                                <m:sSubPr>
                                  <m:ctrlPr>
                                    <w:rPr>
                                      <w:rFonts w:ascii="Cambria Math" w:hAnsi="Cambria Math" w:cs="Arial"/>
                                      <w:i/>
                                      <w:sz w:val="25"/>
                                      <w:szCs w:val="25"/>
                                    </w:rPr>
                                  </m:ctrlPr>
                                </m:sSubPr>
                                <m:e>
                                  <m:r>
                                    <w:rPr>
                                      <w:rFonts w:ascii="Cambria Math" w:hAnsi="Cambria Math" w:cs="Arial"/>
                                      <w:sz w:val="25"/>
                                      <w:szCs w:val="25"/>
                                    </w:rPr>
                                    <m:t>Utilidad</m:t>
                                  </m:r>
                                </m:e>
                                <m:sub>
                                  <m:r>
                                    <w:rPr>
                                      <w:rFonts w:ascii="Cambria Math" w:hAnsi="Cambria Math" w:cs="Arial"/>
                                      <w:sz w:val="25"/>
                                      <w:szCs w:val="25"/>
                                    </w:rPr>
                                    <m:t>t</m:t>
                                  </m:r>
                                </m:sub>
                              </m:sSub>
                              <m:r>
                                <w:rPr>
                                  <w:rFonts w:ascii="Cambria Math" w:hAnsi="Cambria Math" w:cs="Arial"/>
                                  <w:sz w:val="25"/>
                                  <w:szCs w:val="25"/>
                                </w:rPr>
                                <m:t>-Promedio de utilidad de últimos 24 meses</m:t>
                              </m:r>
                            </m:e>
                          </m:d>
                        </m:e>
                        <m:sup>
                          <m:r>
                            <w:rPr>
                              <w:rFonts w:ascii="Cambria Math" w:hAnsi="Cambria Math" w:cs="Arial"/>
                              <w:sz w:val="25"/>
                              <w:szCs w:val="25"/>
                            </w:rPr>
                            <m:t>2</m:t>
                          </m:r>
                        </m:sup>
                      </m:sSup>
                    </m:e>
                  </m:nary>
                </m:num>
                <m:den>
                  <m:r>
                    <w:rPr>
                      <w:rFonts w:ascii="Cambria Math" w:hAnsi="Cambria Math" w:cs="Arial"/>
                      <w:sz w:val="25"/>
                      <w:szCs w:val="25"/>
                    </w:rPr>
                    <m:t>23</m:t>
                  </m:r>
                </m:den>
              </m:f>
            </m:e>
          </m:rad>
        </m:oMath>
      </m:oMathPara>
    </w:p>
    <w:p w14:paraId="517E19D8" w14:textId="77777777" w:rsidR="008802DD" w:rsidRPr="008802DD" w:rsidRDefault="008802DD" w:rsidP="008802DD">
      <w:pPr>
        <w:pStyle w:val="Prrafodelista"/>
        <w:spacing w:after="0" w:line="240" w:lineRule="auto"/>
        <w:ind w:left="1125"/>
        <w:rPr>
          <w:rFonts w:ascii="Arial" w:hAnsi="Arial" w:cs="Arial"/>
          <w:sz w:val="25"/>
          <w:szCs w:val="25"/>
          <w:highlight w:val="yellow"/>
        </w:rPr>
      </w:pPr>
    </w:p>
    <w:p w14:paraId="6DB24644" w14:textId="77777777" w:rsidR="008802DD" w:rsidRPr="008802DD" w:rsidRDefault="008802DD" w:rsidP="008802DD">
      <w:pPr>
        <w:pStyle w:val="Prrafodelista"/>
        <w:spacing w:after="0" w:line="240" w:lineRule="auto"/>
        <w:ind w:left="1276"/>
        <w:rPr>
          <w:rFonts w:ascii="Arial" w:hAnsi="Arial" w:cs="Arial"/>
          <w:sz w:val="25"/>
          <w:szCs w:val="25"/>
        </w:rPr>
      </w:pPr>
      <w:r w:rsidRPr="008802DD">
        <w:rPr>
          <w:rFonts w:ascii="Arial" w:hAnsi="Arial" w:cs="Arial"/>
          <w:sz w:val="25"/>
          <w:szCs w:val="25"/>
        </w:rPr>
        <w:t xml:space="preserve">Donde promedio de utilidad de los últimos 24 meses es: </w:t>
      </w:r>
    </w:p>
    <w:p w14:paraId="6B3E8487" w14:textId="77777777" w:rsidR="008802DD" w:rsidRPr="008802DD" w:rsidRDefault="008802DD" w:rsidP="008802DD">
      <w:pPr>
        <w:pStyle w:val="Prrafodelista"/>
        <w:spacing w:after="0" w:line="240" w:lineRule="auto"/>
        <w:ind w:left="1125"/>
        <w:rPr>
          <w:rFonts w:ascii="Arial" w:hAnsi="Arial" w:cs="Arial"/>
          <w:sz w:val="25"/>
          <w:szCs w:val="25"/>
          <w:highlight w:val="yellow"/>
        </w:rPr>
      </w:pPr>
    </w:p>
    <w:p w14:paraId="586F298D" w14:textId="77777777" w:rsidR="008802DD" w:rsidRPr="008802DD" w:rsidRDefault="006E486A" w:rsidP="008802DD">
      <w:pPr>
        <w:pStyle w:val="Prrafodelista"/>
        <w:spacing w:after="0" w:line="240" w:lineRule="auto"/>
        <w:ind w:left="1125"/>
        <w:jc w:val="center"/>
        <w:rPr>
          <w:rFonts w:ascii="Arial" w:hAnsi="Arial" w:cs="Arial"/>
          <w:sz w:val="25"/>
          <w:szCs w:val="25"/>
          <w:highlight w:val="yellow"/>
        </w:rPr>
      </w:pPr>
      <m:oMathPara>
        <m:oMath>
          <m:f>
            <m:fPr>
              <m:ctrlPr>
                <w:rPr>
                  <w:rFonts w:ascii="Cambria Math" w:hAnsi="Cambria Math" w:cs="Arial"/>
                  <w:i/>
                  <w:sz w:val="25"/>
                  <w:szCs w:val="25"/>
                </w:rPr>
              </m:ctrlPr>
            </m:fPr>
            <m:num>
              <m:nary>
                <m:naryPr>
                  <m:chr m:val="∑"/>
                  <m:limLoc m:val="undOvr"/>
                  <m:ctrlPr>
                    <w:rPr>
                      <w:rFonts w:ascii="Cambria Math" w:hAnsi="Cambria Math" w:cs="Arial"/>
                      <w:i/>
                      <w:sz w:val="25"/>
                      <w:szCs w:val="25"/>
                    </w:rPr>
                  </m:ctrlPr>
                </m:naryPr>
                <m:sub>
                  <m:r>
                    <w:rPr>
                      <w:rFonts w:ascii="Cambria Math" w:hAnsi="Cambria Math" w:cs="Arial"/>
                      <w:sz w:val="25"/>
                      <w:szCs w:val="25"/>
                    </w:rPr>
                    <m:t>t</m:t>
                  </m:r>
                </m:sub>
                <m:sup>
                  <m:r>
                    <w:rPr>
                      <w:rFonts w:ascii="Cambria Math" w:hAnsi="Cambria Math" w:cs="Arial"/>
                      <w:sz w:val="25"/>
                      <w:szCs w:val="25"/>
                    </w:rPr>
                    <m:t>t-23</m:t>
                  </m:r>
                </m:sup>
                <m:e>
                  <m:r>
                    <w:rPr>
                      <w:rFonts w:ascii="Cambria Math" w:hAnsi="Cambria Math" w:cs="Arial"/>
                      <w:sz w:val="25"/>
                      <w:szCs w:val="25"/>
                    </w:rPr>
                    <m:t>Utilidad</m:t>
                  </m:r>
                </m:e>
              </m:nary>
            </m:num>
            <m:den>
              <m:r>
                <w:rPr>
                  <w:rFonts w:ascii="Cambria Math" w:hAnsi="Cambria Math" w:cs="Arial"/>
                  <w:sz w:val="25"/>
                  <w:szCs w:val="25"/>
                </w:rPr>
                <m:t>24</m:t>
              </m:r>
            </m:den>
          </m:f>
        </m:oMath>
      </m:oMathPara>
    </w:p>
    <w:p w14:paraId="3B99DF76" w14:textId="77777777" w:rsidR="008802DD" w:rsidRPr="008802DD" w:rsidRDefault="008802DD" w:rsidP="008802DD">
      <w:pPr>
        <w:pStyle w:val="Prrafodelista"/>
        <w:spacing w:after="0" w:line="240" w:lineRule="auto"/>
        <w:ind w:left="1191"/>
        <w:jc w:val="both"/>
        <w:rPr>
          <w:rFonts w:ascii="Arial" w:hAnsi="Arial" w:cs="Arial"/>
          <w:sz w:val="25"/>
          <w:szCs w:val="25"/>
        </w:rPr>
      </w:pPr>
    </w:p>
    <w:p w14:paraId="191E9886" w14:textId="77777777" w:rsidR="008802DD" w:rsidRPr="008802DD" w:rsidRDefault="008802DD" w:rsidP="008802DD">
      <w:pPr>
        <w:pStyle w:val="Prrafodelista"/>
        <w:spacing w:after="0" w:line="240" w:lineRule="auto"/>
        <w:ind w:left="1276"/>
        <w:jc w:val="both"/>
        <w:rPr>
          <w:rFonts w:ascii="Arial" w:hAnsi="Arial" w:cs="Arial"/>
          <w:sz w:val="25"/>
          <w:szCs w:val="25"/>
        </w:rPr>
      </w:pPr>
      <w:r w:rsidRPr="008802DD">
        <w:rPr>
          <w:rFonts w:ascii="Arial" w:hAnsi="Arial" w:cs="Arial"/>
          <w:sz w:val="25"/>
          <w:szCs w:val="25"/>
        </w:rPr>
        <w:t xml:space="preserve">Donde t corresponde al mes en el que realiza el cálculo. </w:t>
      </w:r>
    </w:p>
    <w:p w14:paraId="45CDFA50" w14:textId="77777777" w:rsidR="008802DD" w:rsidRPr="008802DD" w:rsidRDefault="008802DD" w:rsidP="008802DD">
      <w:pPr>
        <w:ind w:firstLine="360"/>
        <w:jc w:val="both"/>
        <w:rPr>
          <w:rFonts w:ascii="Arial" w:hAnsi="Arial" w:cs="Arial"/>
          <w:b/>
          <w:sz w:val="25"/>
          <w:szCs w:val="25"/>
        </w:rPr>
      </w:pPr>
    </w:p>
    <w:p w14:paraId="0A089A4B" w14:textId="77777777" w:rsidR="008802DD" w:rsidRPr="00BF20A0" w:rsidRDefault="007D7E9F" w:rsidP="008802DD">
      <w:pPr>
        <w:pStyle w:val="Textoindependiente"/>
        <w:numPr>
          <w:ilvl w:val="1"/>
          <w:numId w:val="5"/>
        </w:numPr>
        <w:suppressAutoHyphens/>
        <w:rPr>
          <w:rFonts w:cs="Arial"/>
          <w:b/>
          <w:sz w:val="25"/>
          <w:szCs w:val="25"/>
        </w:rPr>
      </w:pPr>
      <w:r w:rsidRPr="00BF20A0">
        <w:rPr>
          <w:rFonts w:cs="Arial"/>
          <w:b/>
          <w:sz w:val="25"/>
          <w:szCs w:val="25"/>
        </w:rPr>
        <w:t>Liquidez</w:t>
      </w:r>
    </w:p>
    <w:p w14:paraId="0713F0D0" w14:textId="77777777" w:rsidR="008802DD" w:rsidRPr="008802DD" w:rsidRDefault="008802DD" w:rsidP="008802DD">
      <w:pPr>
        <w:pStyle w:val="Prrafodelista"/>
        <w:spacing w:after="0" w:line="240" w:lineRule="auto"/>
        <w:ind w:left="786"/>
        <w:jc w:val="both"/>
        <w:rPr>
          <w:rFonts w:ascii="Arial" w:hAnsi="Arial" w:cs="Arial"/>
          <w:b/>
          <w:sz w:val="25"/>
          <w:szCs w:val="25"/>
        </w:rPr>
      </w:pPr>
    </w:p>
    <w:p w14:paraId="230A0C91" w14:textId="77777777" w:rsidR="008802DD" w:rsidRPr="008802DD" w:rsidRDefault="008802DD" w:rsidP="007D7E9F">
      <w:pPr>
        <w:pStyle w:val="Prrafodelista"/>
        <w:spacing w:after="0" w:line="240" w:lineRule="auto"/>
        <w:ind w:left="709"/>
        <w:jc w:val="both"/>
        <w:rPr>
          <w:rFonts w:ascii="Arial" w:hAnsi="Arial" w:cs="Arial"/>
          <w:b/>
          <w:sz w:val="25"/>
          <w:szCs w:val="25"/>
        </w:rPr>
      </w:pPr>
      <w:r w:rsidRPr="008802DD">
        <w:rPr>
          <w:rFonts w:ascii="Arial" w:hAnsi="Arial" w:cs="Arial"/>
          <w:b/>
          <w:sz w:val="25"/>
          <w:szCs w:val="25"/>
        </w:rPr>
        <w:t>4.6.1 Activos líquidos ajustados por liquidez / Requerimiento neto de liquidez de la banda 30 días</w:t>
      </w:r>
    </w:p>
    <w:p w14:paraId="5390E892" w14:textId="77777777" w:rsidR="008802DD" w:rsidRPr="008802DD" w:rsidRDefault="008802DD" w:rsidP="008802DD">
      <w:pPr>
        <w:pStyle w:val="Prrafodelista"/>
        <w:spacing w:after="0" w:line="240" w:lineRule="auto"/>
        <w:ind w:left="993"/>
        <w:jc w:val="both"/>
        <w:rPr>
          <w:rFonts w:ascii="Arial" w:hAnsi="Arial" w:cs="Arial"/>
          <w:sz w:val="25"/>
          <w:szCs w:val="25"/>
        </w:rPr>
      </w:pPr>
    </w:p>
    <w:p w14:paraId="79371755" w14:textId="77777777" w:rsidR="008802DD" w:rsidRDefault="008802DD" w:rsidP="007D7E9F">
      <w:pPr>
        <w:pStyle w:val="Prrafodelista"/>
        <w:spacing w:after="0" w:line="240" w:lineRule="auto"/>
        <w:ind w:left="709"/>
        <w:jc w:val="both"/>
        <w:rPr>
          <w:rFonts w:ascii="Arial" w:hAnsi="Arial" w:cs="Arial"/>
          <w:sz w:val="25"/>
          <w:szCs w:val="25"/>
        </w:rPr>
      </w:pPr>
      <w:r w:rsidRPr="008802DD">
        <w:rPr>
          <w:rFonts w:ascii="Arial" w:hAnsi="Arial" w:cs="Arial"/>
          <w:sz w:val="25"/>
          <w:szCs w:val="25"/>
        </w:rPr>
        <w:t>De los reportes semanales del Formato 458, se debe seleccionar el indicador mensual más bajo del valor reportado en el Formato 458, Unidad de Captura 11, Columna 18, Subcuenta 010, correspondiente al concepto de Razón Indicador de Riesgo de Liquidez (IRLr).</w:t>
      </w:r>
    </w:p>
    <w:p w14:paraId="5187001A" w14:textId="77777777" w:rsidR="00AD6AB3" w:rsidRDefault="00AD6AB3" w:rsidP="008802DD">
      <w:pPr>
        <w:pStyle w:val="Prrafodelista"/>
        <w:spacing w:after="0" w:line="240" w:lineRule="auto"/>
        <w:ind w:left="993"/>
        <w:jc w:val="both"/>
        <w:rPr>
          <w:rFonts w:ascii="Arial" w:hAnsi="Arial" w:cs="Arial"/>
          <w:sz w:val="25"/>
          <w:szCs w:val="25"/>
        </w:rPr>
      </w:pPr>
    </w:p>
    <w:p w14:paraId="431BD8C3" w14:textId="77777777" w:rsidR="00AD6AB3" w:rsidRPr="00BF20A0" w:rsidRDefault="007D7E9F" w:rsidP="00AD6AB3">
      <w:pPr>
        <w:pStyle w:val="Textoindependiente"/>
        <w:numPr>
          <w:ilvl w:val="1"/>
          <w:numId w:val="5"/>
        </w:numPr>
        <w:suppressAutoHyphens/>
        <w:rPr>
          <w:rFonts w:cs="Arial"/>
          <w:b/>
          <w:sz w:val="25"/>
          <w:szCs w:val="25"/>
        </w:rPr>
      </w:pPr>
      <w:r>
        <w:rPr>
          <w:rFonts w:cs="Arial"/>
          <w:b/>
          <w:sz w:val="25"/>
          <w:szCs w:val="25"/>
        </w:rPr>
        <w:t>Concentración</w:t>
      </w:r>
    </w:p>
    <w:p w14:paraId="1E577939" w14:textId="77777777" w:rsidR="00AD6AB3" w:rsidRPr="008802DD" w:rsidRDefault="00AD6AB3" w:rsidP="00AD6AB3">
      <w:pPr>
        <w:pStyle w:val="Prrafodelista"/>
        <w:spacing w:after="0" w:line="240" w:lineRule="auto"/>
        <w:ind w:left="786"/>
        <w:jc w:val="both"/>
        <w:rPr>
          <w:rFonts w:ascii="Arial" w:hAnsi="Arial" w:cs="Arial"/>
          <w:b/>
          <w:sz w:val="25"/>
          <w:szCs w:val="25"/>
        </w:rPr>
      </w:pPr>
    </w:p>
    <w:p w14:paraId="1CD24505" w14:textId="77777777" w:rsidR="00AD6AB3" w:rsidRPr="008802DD" w:rsidRDefault="00AD6AB3" w:rsidP="00AD6AB3">
      <w:pPr>
        <w:pStyle w:val="Prrafodelista"/>
        <w:spacing w:after="0" w:line="240" w:lineRule="auto"/>
        <w:ind w:left="831"/>
        <w:jc w:val="both"/>
        <w:rPr>
          <w:rFonts w:ascii="Arial" w:hAnsi="Arial" w:cs="Arial"/>
          <w:b/>
          <w:sz w:val="25"/>
          <w:szCs w:val="25"/>
        </w:rPr>
      </w:pPr>
      <w:r w:rsidRPr="008802DD">
        <w:rPr>
          <w:rFonts w:ascii="Arial" w:hAnsi="Arial" w:cs="Arial"/>
          <w:b/>
          <w:sz w:val="25"/>
          <w:szCs w:val="25"/>
        </w:rPr>
        <w:t>4.</w:t>
      </w:r>
      <w:r>
        <w:rPr>
          <w:rFonts w:ascii="Arial" w:hAnsi="Arial" w:cs="Arial"/>
          <w:b/>
          <w:sz w:val="25"/>
          <w:szCs w:val="25"/>
        </w:rPr>
        <w:t>7</w:t>
      </w:r>
      <w:r w:rsidRPr="008802DD">
        <w:rPr>
          <w:rFonts w:ascii="Arial" w:hAnsi="Arial" w:cs="Arial"/>
          <w:b/>
          <w:sz w:val="25"/>
          <w:szCs w:val="25"/>
        </w:rPr>
        <w:t xml:space="preserve">.1 </w:t>
      </w:r>
      <w:r w:rsidRPr="00AD6AB3">
        <w:rPr>
          <w:rFonts w:ascii="Arial" w:hAnsi="Arial" w:cs="Arial"/>
          <w:b/>
          <w:sz w:val="25"/>
          <w:szCs w:val="25"/>
        </w:rPr>
        <w:t>Cartera 5 deudores más grandes / Activos totales</w:t>
      </w:r>
    </w:p>
    <w:p w14:paraId="49AE84F7" w14:textId="77777777" w:rsidR="00AD6AB3" w:rsidRDefault="00AD6AB3" w:rsidP="00AD6AB3">
      <w:pPr>
        <w:pStyle w:val="Prrafodelista"/>
        <w:spacing w:after="0" w:line="240" w:lineRule="auto"/>
        <w:ind w:left="993"/>
        <w:jc w:val="both"/>
        <w:rPr>
          <w:rFonts w:ascii="Arial" w:hAnsi="Arial" w:cs="Arial"/>
          <w:sz w:val="25"/>
          <w:szCs w:val="25"/>
        </w:rPr>
      </w:pPr>
    </w:p>
    <w:p w14:paraId="472FE1C1" w14:textId="77777777" w:rsidR="00AD6AB3" w:rsidRPr="008802DD" w:rsidRDefault="00AD6AB3" w:rsidP="007D7E9F">
      <w:pPr>
        <w:pStyle w:val="Prrafodelista"/>
        <w:numPr>
          <w:ilvl w:val="0"/>
          <w:numId w:val="1"/>
        </w:numPr>
        <w:spacing w:after="0" w:line="240" w:lineRule="auto"/>
        <w:ind w:left="851" w:hanging="426"/>
        <w:jc w:val="both"/>
        <w:rPr>
          <w:rFonts w:ascii="Arial" w:hAnsi="Arial" w:cs="Arial"/>
          <w:sz w:val="25"/>
          <w:szCs w:val="25"/>
        </w:rPr>
      </w:pPr>
      <w:r>
        <w:rPr>
          <w:rFonts w:ascii="Arial" w:hAnsi="Arial" w:cs="Arial"/>
          <w:b/>
          <w:sz w:val="25"/>
          <w:szCs w:val="25"/>
        </w:rPr>
        <w:lastRenderedPageBreak/>
        <w:t xml:space="preserve">Cartera 5 deudores más grandes </w:t>
      </w:r>
      <w:r w:rsidRPr="008802DD">
        <w:rPr>
          <w:rFonts w:ascii="Arial" w:hAnsi="Arial" w:cs="Arial"/>
          <w:b/>
          <w:sz w:val="25"/>
          <w:szCs w:val="25"/>
        </w:rPr>
        <w:t>(numerador)</w:t>
      </w:r>
      <w:r w:rsidRPr="008802DD">
        <w:rPr>
          <w:rFonts w:ascii="Arial" w:hAnsi="Arial" w:cs="Arial"/>
          <w:sz w:val="25"/>
          <w:szCs w:val="25"/>
        </w:rPr>
        <w:t xml:space="preserve">. </w:t>
      </w:r>
      <w:r w:rsidRPr="00AD6AB3">
        <w:rPr>
          <w:rFonts w:ascii="Arial" w:hAnsi="Arial" w:cs="Arial"/>
          <w:sz w:val="25"/>
          <w:szCs w:val="25"/>
        </w:rPr>
        <w:t>Del formato 341, se tomará la exposición total de cada deudor, correspondiente a la suma de las Columnas 36 y 37 de la Unidad de Captura 13, y se ordenará de mayor a menor. Para el cálculo del indicador, se sumarán las exposiciones de los 5 deudores más grandes.</w:t>
      </w:r>
    </w:p>
    <w:p w14:paraId="12F483C8" w14:textId="77777777" w:rsidR="00AD6AB3" w:rsidRPr="008802DD" w:rsidRDefault="00AD6AB3" w:rsidP="007D7E9F">
      <w:pPr>
        <w:pStyle w:val="Prrafodelista"/>
        <w:spacing w:after="0" w:line="240" w:lineRule="auto"/>
        <w:ind w:left="851" w:hanging="426"/>
        <w:jc w:val="both"/>
        <w:rPr>
          <w:rFonts w:ascii="Arial" w:hAnsi="Arial" w:cs="Arial"/>
          <w:sz w:val="25"/>
          <w:szCs w:val="25"/>
        </w:rPr>
      </w:pPr>
    </w:p>
    <w:p w14:paraId="49703AE4" w14:textId="77777777" w:rsidR="00AD6AB3" w:rsidRPr="008802DD" w:rsidRDefault="00AD6AB3" w:rsidP="007D7E9F">
      <w:pPr>
        <w:pStyle w:val="Prrafodelista"/>
        <w:numPr>
          <w:ilvl w:val="0"/>
          <w:numId w:val="1"/>
        </w:numPr>
        <w:spacing w:after="0" w:line="240" w:lineRule="auto"/>
        <w:ind w:left="851" w:hanging="426"/>
        <w:jc w:val="both"/>
        <w:rPr>
          <w:rFonts w:ascii="Arial" w:hAnsi="Arial" w:cs="Arial"/>
          <w:sz w:val="25"/>
          <w:szCs w:val="25"/>
        </w:rPr>
      </w:pPr>
      <w:r>
        <w:rPr>
          <w:rFonts w:ascii="Arial" w:hAnsi="Arial" w:cs="Arial"/>
          <w:b/>
          <w:sz w:val="25"/>
          <w:szCs w:val="25"/>
        </w:rPr>
        <w:t>Activos totales</w:t>
      </w:r>
      <w:r w:rsidRPr="008802DD">
        <w:rPr>
          <w:rFonts w:ascii="Arial" w:hAnsi="Arial" w:cs="Arial"/>
          <w:b/>
          <w:sz w:val="25"/>
          <w:szCs w:val="25"/>
        </w:rPr>
        <w:t xml:space="preserve"> (denominador)</w:t>
      </w:r>
      <w:r w:rsidRPr="008802DD">
        <w:rPr>
          <w:rFonts w:ascii="Arial" w:hAnsi="Arial" w:cs="Arial"/>
          <w:sz w:val="25"/>
          <w:szCs w:val="25"/>
        </w:rPr>
        <w:t xml:space="preserve">. </w:t>
      </w:r>
      <w:r w:rsidRPr="00AD6AB3">
        <w:rPr>
          <w:rFonts w:ascii="Arial" w:hAnsi="Arial" w:cs="Arial"/>
          <w:sz w:val="25"/>
          <w:szCs w:val="25"/>
        </w:rPr>
        <w:t>Es igual al valor de la cuenta del Catálogo Único de Información Financiera con fines de supervisión 100000.</w:t>
      </w:r>
    </w:p>
    <w:p w14:paraId="71900F3F" w14:textId="77777777" w:rsidR="00AD6AB3" w:rsidRDefault="00AD6AB3" w:rsidP="00AD6AB3">
      <w:pPr>
        <w:pStyle w:val="Prrafodelista"/>
        <w:spacing w:after="0" w:line="240" w:lineRule="auto"/>
        <w:ind w:left="993"/>
        <w:jc w:val="both"/>
        <w:rPr>
          <w:rFonts w:ascii="Arial" w:hAnsi="Arial" w:cs="Arial"/>
          <w:sz w:val="25"/>
          <w:szCs w:val="25"/>
        </w:rPr>
      </w:pPr>
    </w:p>
    <w:p w14:paraId="3EA5DC99" w14:textId="77777777" w:rsidR="00AD6AB3" w:rsidRPr="008802DD" w:rsidRDefault="00AD6AB3" w:rsidP="00AD6AB3">
      <w:pPr>
        <w:pStyle w:val="Prrafodelista"/>
        <w:spacing w:after="0" w:line="240" w:lineRule="auto"/>
        <w:ind w:left="831"/>
        <w:jc w:val="both"/>
        <w:rPr>
          <w:rFonts w:ascii="Arial" w:hAnsi="Arial" w:cs="Arial"/>
          <w:b/>
          <w:sz w:val="25"/>
          <w:szCs w:val="25"/>
        </w:rPr>
      </w:pPr>
      <w:r w:rsidRPr="008802DD">
        <w:rPr>
          <w:rFonts w:ascii="Arial" w:hAnsi="Arial" w:cs="Arial"/>
          <w:b/>
          <w:sz w:val="25"/>
          <w:szCs w:val="25"/>
        </w:rPr>
        <w:t>4.</w:t>
      </w:r>
      <w:r>
        <w:rPr>
          <w:rFonts w:ascii="Arial" w:hAnsi="Arial" w:cs="Arial"/>
          <w:b/>
          <w:sz w:val="25"/>
          <w:szCs w:val="25"/>
        </w:rPr>
        <w:t>7</w:t>
      </w:r>
      <w:r w:rsidRPr="008802DD">
        <w:rPr>
          <w:rFonts w:ascii="Arial" w:hAnsi="Arial" w:cs="Arial"/>
          <w:b/>
          <w:sz w:val="25"/>
          <w:szCs w:val="25"/>
        </w:rPr>
        <w:t>.</w:t>
      </w:r>
      <w:r>
        <w:rPr>
          <w:rFonts w:ascii="Arial" w:hAnsi="Arial" w:cs="Arial"/>
          <w:b/>
          <w:sz w:val="25"/>
          <w:szCs w:val="25"/>
        </w:rPr>
        <w:t>2</w:t>
      </w:r>
      <w:r w:rsidRPr="008802DD">
        <w:rPr>
          <w:rFonts w:ascii="Arial" w:hAnsi="Arial" w:cs="Arial"/>
          <w:b/>
          <w:sz w:val="25"/>
          <w:szCs w:val="25"/>
        </w:rPr>
        <w:t xml:space="preserve"> </w:t>
      </w:r>
      <w:r w:rsidRPr="00AD6AB3">
        <w:rPr>
          <w:rFonts w:ascii="Arial" w:hAnsi="Arial" w:cs="Arial"/>
          <w:b/>
          <w:sz w:val="25"/>
          <w:szCs w:val="25"/>
        </w:rPr>
        <w:t>Depósitos 5 depositantes más grandes / Pasivos totales</w:t>
      </w:r>
    </w:p>
    <w:p w14:paraId="7C0CA508" w14:textId="77777777" w:rsidR="00AD6AB3" w:rsidRDefault="00AD6AB3" w:rsidP="00AD6AB3">
      <w:pPr>
        <w:pStyle w:val="Prrafodelista"/>
        <w:spacing w:after="0" w:line="240" w:lineRule="auto"/>
        <w:ind w:left="993"/>
        <w:jc w:val="both"/>
        <w:rPr>
          <w:rFonts w:ascii="Arial" w:hAnsi="Arial" w:cs="Arial"/>
          <w:sz w:val="25"/>
          <w:szCs w:val="25"/>
        </w:rPr>
      </w:pPr>
    </w:p>
    <w:p w14:paraId="0C2420BE" w14:textId="77777777" w:rsidR="00AD6AB3" w:rsidRPr="008802DD" w:rsidRDefault="00AD6AB3" w:rsidP="007D7E9F">
      <w:pPr>
        <w:pStyle w:val="Prrafodelista"/>
        <w:numPr>
          <w:ilvl w:val="0"/>
          <w:numId w:val="1"/>
        </w:numPr>
        <w:spacing w:after="0" w:line="240" w:lineRule="auto"/>
        <w:ind w:left="1134" w:hanging="426"/>
        <w:jc w:val="both"/>
        <w:rPr>
          <w:rFonts w:ascii="Arial" w:hAnsi="Arial" w:cs="Arial"/>
          <w:sz w:val="25"/>
          <w:szCs w:val="25"/>
        </w:rPr>
      </w:pPr>
      <w:r w:rsidRPr="00AD6AB3">
        <w:rPr>
          <w:rFonts w:ascii="Arial" w:hAnsi="Arial" w:cs="Arial"/>
          <w:b/>
          <w:sz w:val="25"/>
          <w:szCs w:val="25"/>
        </w:rPr>
        <w:t xml:space="preserve">Depósitos 5 depositantes más grandes </w:t>
      </w:r>
      <w:r w:rsidRPr="008802DD">
        <w:rPr>
          <w:rFonts w:ascii="Arial" w:hAnsi="Arial" w:cs="Arial"/>
          <w:b/>
          <w:sz w:val="25"/>
          <w:szCs w:val="25"/>
        </w:rPr>
        <w:t>(numerador)</w:t>
      </w:r>
      <w:r w:rsidRPr="008802DD">
        <w:rPr>
          <w:rFonts w:ascii="Arial" w:hAnsi="Arial" w:cs="Arial"/>
          <w:sz w:val="25"/>
          <w:szCs w:val="25"/>
        </w:rPr>
        <w:t xml:space="preserve">. </w:t>
      </w:r>
      <w:r w:rsidRPr="00AD6AB3">
        <w:rPr>
          <w:rFonts w:ascii="Arial" w:hAnsi="Arial" w:cs="Arial"/>
          <w:sz w:val="25"/>
          <w:szCs w:val="25"/>
        </w:rPr>
        <w:t>Del Formato de Depósitos Individuales, para cada depositante se sumarán los saldos e intereses de todos los productos que posean con la entidad, registrados en los campos 24 y 26 del Registro Tipo 2</w:t>
      </w:r>
      <w:r w:rsidR="00216B4C">
        <w:rPr>
          <w:rFonts w:ascii="Arial" w:hAnsi="Arial" w:cs="Arial"/>
          <w:sz w:val="25"/>
          <w:szCs w:val="25"/>
        </w:rPr>
        <w:t>, tomando en cuenta el signo del campo 25</w:t>
      </w:r>
      <w:r w:rsidRPr="00AD6AB3">
        <w:rPr>
          <w:rFonts w:ascii="Arial" w:hAnsi="Arial" w:cs="Arial"/>
          <w:sz w:val="25"/>
          <w:szCs w:val="25"/>
        </w:rPr>
        <w:t>. Cuando los depositantes tengan un producto en calidad de cotitulares, se dividirá el saldo total del producto (incluidos los intereses) entre el número de titulares</w:t>
      </w:r>
      <w:r w:rsidR="00441006">
        <w:rPr>
          <w:rFonts w:ascii="Arial" w:hAnsi="Arial" w:cs="Arial"/>
          <w:sz w:val="25"/>
          <w:szCs w:val="25"/>
        </w:rPr>
        <w:t xml:space="preserve"> y este resultado se sumará al saldo de los productos individuales que tenga cada titular</w:t>
      </w:r>
      <w:r w:rsidRPr="00AD6AB3">
        <w:rPr>
          <w:rFonts w:ascii="Arial" w:hAnsi="Arial" w:cs="Arial"/>
          <w:sz w:val="25"/>
          <w:szCs w:val="25"/>
        </w:rPr>
        <w:t>. Se ordenarán los depositantes de mayor a menor y para el cálculo del indicador, se sumarán los depósitos totales de los 5 depositantes más grandes.</w:t>
      </w:r>
    </w:p>
    <w:p w14:paraId="6108BDD0" w14:textId="77777777" w:rsidR="00AD6AB3" w:rsidRPr="008802DD" w:rsidRDefault="00AD6AB3" w:rsidP="00AD6AB3">
      <w:pPr>
        <w:pStyle w:val="Prrafodelista"/>
        <w:spacing w:after="0" w:line="240" w:lineRule="auto"/>
        <w:ind w:left="1560" w:hanging="426"/>
        <w:jc w:val="both"/>
        <w:rPr>
          <w:rFonts w:ascii="Arial" w:hAnsi="Arial" w:cs="Arial"/>
          <w:sz w:val="25"/>
          <w:szCs w:val="25"/>
        </w:rPr>
      </w:pPr>
    </w:p>
    <w:p w14:paraId="2766B586" w14:textId="77777777" w:rsidR="00AD6AB3" w:rsidRPr="008802DD" w:rsidRDefault="00AD6AB3" w:rsidP="007D7E9F">
      <w:pPr>
        <w:pStyle w:val="Prrafodelista"/>
        <w:numPr>
          <w:ilvl w:val="0"/>
          <w:numId w:val="1"/>
        </w:numPr>
        <w:spacing w:after="0" w:line="240" w:lineRule="auto"/>
        <w:ind w:left="1134" w:hanging="426"/>
        <w:jc w:val="both"/>
        <w:rPr>
          <w:rFonts w:ascii="Arial" w:hAnsi="Arial" w:cs="Arial"/>
          <w:sz w:val="25"/>
          <w:szCs w:val="25"/>
        </w:rPr>
      </w:pPr>
      <w:r>
        <w:rPr>
          <w:rFonts w:ascii="Arial" w:hAnsi="Arial" w:cs="Arial"/>
          <w:b/>
          <w:sz w:val="25"/>
          <w:szCs w:val="25"/>
        </w:rPr>
        <w:t>Pasivos totales</w:t>
      </w:r>
      <w:r w:rsidRPr="008802DD">
        <w:rPr>
          <w:rFonts w:ascii="Arial" w:hAnsi="Arial" w:cs="Arial"/>
          <w:b/>
          <w:sz w:val="25"/>
          <w:szCs w:val="25"/>
        </w:rPr>
        <w:t xml:space="preserve"> (denominador)</w:t>
      </w:r>
      <w:r w:rsidRPr="008802DD">
        <w:rPr>
          <w:rFonts w:ascii="Arial" w:hAnsi="Arial" w:cs="Arial"/>
          <w:sz w:val="25"/>
          <w:szCs w:val="25"/>
        </w:rPr>
        <w:t xml:space="preserve">. </w:t>
      </w:r>
      <w:r w:rsidRPr="00AD6AB3">
        <w:rPr>
          <w:rFonts w:ascii="Arial" w:hAnsi="Arial" w:cs="Arial"/>
          <w:sz w:val="25"/>
          <w:szCs w:val="25"/>
        </w:rPr>
        <w:t xml:space="preserve">Es igual al valor de la cuenta del Catálogo Único de Información Financiera con fines de supervisión </w:t>
      </w:r>
      <w:r>
        <w:rPr>
          <w:rFonts w:ascii="Arial" w:hAnsi="Arial" w:cs="Arial"/>
          <w:sz w:val="25"/>
          <w:szCs w:val="25"/>
        </w:rPr>
        <w:t>2</w:t>
      </w:r>
      <w:r w:rsidRPr="00AD6AB3">
        <w:rPr>
          <w:rFonts w:ascii="Arial" w:hAnsi="Arial" w:cs="Arial"/>
          <w:sz w:val="25"/>
          <w:szCs w:val="25"/>
        </w:rPr>
        <w:t>00000.</w:t>
      </w:r>
    </w:p>
    <w:p w14:paraId="2A4E8ACE" w14:textId="77777777" w:rsidR="00AD6AB3" w:rsidRPr="008802DD" w:rsidRDefault="00AD6AB3" w:rsidP="00AD6AB3">
      <w:pPr>
        <w:pStyle w:val="Prrafodelista"/>
        <w:spacing w:after="0" w:line="240" w:lineRule="auto"/>
        <w:ind w:left="993"/>
        <w:jc w:val="both"/>
        <w:rPr>
          <w:rFonts w:ascii="Arial" w:hAnsi="Arial" w:cs="Arial"/>
          <w:sz w:val="25"/>
          <w:szCs w:val="25"/>
        </w:rPr>
      </w:pPr>
    </w:p>
    <w:p w14:paraId="222FD25C" w14:textId="77777777" w:rsidR="008802DD" w:rsidRPr="008802DD" w:rsidRDefault="008802DD" w:rsidP="008802DD">
      <w:pPr>
        <w:pStyle w:val="Prrafodelista"/>
        <w:numPr>
          <w:ilvl w:val="0"/>
          <w:numId w:val="5"/>
        </w:numPr>
        <w:spacing w:after="0" w:line="240" w:lineRule="auto"/>
        <w:ind w:left="426" w:hanging="426"/>
        <w:jc w:val="both"/>
        <w:rPr>
          <w:rFonts w:ascii="Arial" w:hAnsi="Arial" w:cs="Arial"/>
          <w:b/>
          <w:sz w:val="25"/>
          <w:szCs w:val="25"/>
        </w:rPr>
      </w:pPr>
      <w:r w:rsidRPr="008802DD">
        <w:rPr>
          <w:rFonts w:ascii="Arial" w:hAnsi="Arial" w:cs="Arial"/>
          <w:b/>
          <w:sz w:val="25"/>
          <w:szCs w:val="25"/>
        </w:rPr>
        <w:t>CONSIDERACIONES ADICIONALES PARA EL CÁLCULO DE LA CALIFICACIÓN</w:t>
      </w:r>
    </w:p>
    <w:p w14:paraId="1FA5DEE1" w14:textId="77777777" w:rsidR="008802DD" w:rsidRPr="008802DD" w:rsidRDefault="008802DD" w:rsidP="008802DD">
      <w:pPr>
        <w:pStyle w:val="Prrafodelista"/>
        <w:spacing w:after="0" w:line="240" w:lineRule="auto"/>
        <w:ind w:left="426"/>
        <w:jc w:val="both"/>
        <w:rPr>
          <w:rFonts w:ascii="Arial" w:hAnsi="Arial" w:cs="Arial"/>
          <w:b/>
          <w:sz w:val="25"/>
          <w:szCs w:val="25"/>
        </w:rPr>
      </w:pPr>
    </w:p>
    <w:p w14:paraId="39640DD8" w14:textId="77777777" w:rsidR="008802DD" w:rsidRPr="008802DD" w:rsidRDefault="007D7E9F" w:rsidP="008802DD">
      <w:pPr>
        <w:pStyle w:val="Prrafodelista"/>
        <w:numPr>
          <w:ilvl w:val="1"/>
          <w:numId w:val="5"/>
        </w:numPr>
        <w:spacing w:after="0" w:line="240" w:lineRule="auto"/>
        <w:jc w:val="both"/>
        <w:rPr>
          <w:rFonts w:ascii="Arial" w:hAnsi="Arial" w:cs="Arial"/>
          <w:b/>
          <w:sz w:val="25"/>
          <w:szCs w:val="25"/>
        </w:rPr>
      </w:pPr>
      <w:r w:rsidRPr="008802DD">
        <w:rPr>
          <w:rFonts w:ascii="Arial" w:hAnsi="Arial" w:cs="Arial"/>
          <w:b/>
          <w:sz w:val="25"/>
          <w:szCs w:val="25"/>
        </w:rPr>
        <w:t xml:space="preserve">Metodología </w:t>
      </w:r>
      <w:r>
        <w:rPr>
          <w:rFonts w:ascii="Arial" w:hAnsi="Arial" w:cs="Arial"/>
          <w:b/>
          <w:sz w:val="25"/>
          <w:szCs w:val="25"/>
        </w:rPr>
        <w:t>d</w:t>
      </w:r>
      <w:r w:rsidRPr="008802DD">
        <w:rPr>
          <w:rFonts w:ascii="Arial" w:hAnsi="Arial" w:cs="Arial"/>
          <w:b/>
          <w:sz w:val="25"/>
          <w:szCs w:val="25"/>
        </w:rPr>
        <w:t xml:space="preserve">e </w:t>
      </w:r>
      <w:r>
        <w:rPr>
          <w:rFonts w:ascii="Arial" w:hAnsi="Arial" w:cs="Arial"/>
          <w:b/>
          <w:sz w:val="25"/>
          <w:szCs w:val="25"/>
        </w:rPr>
        <w:t>a</w:t>
      </w:r>
      <w:r w:rsidRPr="008802DD">
        <w:rPr>
          <w:rFonts w:ascii="Arial" w:hAnsi="Arial" w:cs="Arial"/>
          <w:b/>
          <w:sz w:val="25"/>
          <w:szCs w:val="25"/>
        </w:rPr>
        <w:t xml:space="preserve">nualización </w:t>
      </w:r>
      <w:r>
        <w:rPr>
          <w:rFonts w:ascii="Arial" w:hAnsi="Arial" w:cs="Arial"/>
          <w:b/>
          <w:sz w:val="25"/>
          <w:szCs w:val="25"/>
        </w:rPr>
        <w:t>d</w:t>
      </w:r>
      <w:r w:rsidRPr="008802DD">
        <w:rPr>
          <w:rFonts w:ascii="Arial" w:hAnsi="Arial" w:cs="Arial"/>
          <w:b/>
          <w:sz w:val="25"/>
          <w:szCs w:val="25"/>
        </w:rPr>
        <w:t xml:space="preserve">e </w:t>
      </w:r>
      <w:r>
        <w:rPr>
          <w:rFonts w:ascii="Arial" w:hAnsi="Arial" w:cs="Arial"/>
          <w:b/>
          <w:sz w:val="25"/>
          <w:szCs w:val="25"/>
        </w:rPr>
        <w:t>l</w:t>
      </w:r>
      <w:r w:rsidRPr="008802DD">
        <w:rPr>
          <w:rFonts w:ascii="Arial" w:hAnsi="Arial" w:cs="Arial"/>
          <w:b/>
          <w:sz w:val="25"/>
          <w:szCs w:val="25"/>
        </w:rPr>
        <w:t xml:space="preserve">as </w:t>
      </w:r>
      <w:r>
        <w:rPr>
          <w:rFonts w:ascii="Arial" w:hAnsi="Arial" w:cs="Arial"/>
          <w:b/>
          <w:sz w:val="25"/>
          <w:szCs w:val="25"/>
        </w:rPr>
        <w:t>c</w:t>
      </w:r>
      <w:r w:rsidRPr="008802DD">
        <w:rPr>
          <w:rFonts w:ascii="Arial" w:hAnsi="Arial" w:cs="Arial"/>
          <w:b/>
          <w:sz w:val="25"/>
          <w:szCs w:val="25"/>
        </w:rPr>
        <w:t xml:space="preserve">uentas </w:t>
      </w:r>
      <w:r>
        <w:rPr>
          <w:rFonts w:ascii="Arial" w:hAnsi="Arial" w:cs="Arial"/>
          <w:b/>
          <w:sz w:val="25"/>
          <w:szCs w:val="25"/>
        </w:rPr>
        <w:t>d</w:t>
      </w:r>
      <w:r w:rsidRPr="008802DD">
        <w:rPr>
          <w:rFonts w:ascii="Arial" w:hAnsi="Arial" w:cs="Arial"/>
          <w:b/>
          <w:sz w:val="25"/>
          <w:szCs w:val="25"/>
        </w:rPr>
        <w:t xml:space="preserve">el </w:t>
      </w:r>
      <w:r>
        <w:rPr>
          <w:rFonts w:ascii="Arial" w:hAnsi="Arial" w:cs="Arial"/>
          <w:b/>
          <w:sz w:val="25"/>
          <w:szCs w:val="25"/>
        </w:rPr>
        <w:t>e</w:t>
      </w:r>
      <w:r w:rsidRPr="008802DD">
        <w:rPr>
          <w:rFonts w:ascii="Arial" w:hAnsi="Arial" w:cs="Arial"/>
          <w:b/>
          <w:sz w:val="25"/>
          <w:szCs w:val="25"/>
        </w:rPr>
        <w:t xml:space="preserve">stado </w:t>
      </w:r>
      <w:r>
        <w:rPr>
          <w:rFonts w:ascii="Arial" w:hAnsi="Arial" w:cs="Arial"/>
          <w:b/>
          <w:sz w:val="25"/>
          <w:szCs w:val="25"/>
        </w:rPr>
        <w:t>d</w:t>
      </w:r>
      <w:r w:rsidRPr="008802DD">
        <w:rPr>
          <w:rFonts w:ascii="Arial" w:hAnsi="Arial" w:cs="Arial"/>
          <w:b/>
          <w:sz w:val="25"/>
          <w:szCs w:val="25"/>
        </w:rPr>
        <w:t xml:space="preserve">e </w:t>
      </w:r>
      <w:r>
        <w:rPr>
          <w:rFonts w:ascii="Arial" w:hAnsi="Arial" w:cs="Arial"/>
          <w:b/>
          <w:sz w:val="25"/>
          <w:szCs w:val="25"/>
        </w:rPr>
        <w:t>p</w:t>
      </w:r>
      <w:r w:rsidRPr="008802DD">
        <w:rPr>
          <w:rFonts w:ascii="Arial" w:hAnsi="Arial" w:cs="Arial"/>
          <w:b/>
          <w:sz w:val="25"/>
          <w:szCs w:val="25"/>
        </w:rPr>
        <w:t xml:space="preserve">érdidas </w:t>
      </w:r>
      <w:r>
        <w:rPr>
          <w:rFonts w:ascii="Arial" w:hAnsi="Arial" w:cs="Arial"/>
          <w:b/>
          <w:sz w:val="25"/>
          <w:szCs w:val="25"/>
        </w:rPr>
        <w:t>y</w:t>
      </w:r>
      <w:r w:rsidRPr="008802DD">
        <w:rPr>
          <w:rFonts w:ascii="Arial" w:hAnsi="Arial" w:cs="Arial"/>
          <w:b/>
          <w:sz w:val="25"/>
          <w:szCs w:val="25"/>
        </w:rPr>
        <w:t xml:space="preserve"> </w:t>
      </w:r>
      <w:r>
        <w:rPr>
          <w:rFonts w:ascii="Arial" w:hAnsi="Arial" w:cs="Arial"/>
          <w:b/>
          <w:sz w:val="25"/>
          <w:szCs w:val="25"/>
        </w:rPr>
        <w:t>g</w:t>
      </w:r>
      <w:r w:rsidRPr="008802DD">
        <w:rPr>
          <w:rFonts w:ascii="Arial" w:hAnsi="Arial" w:cs="Arial"/>
          <w:b/>
          <w:sz w:val="25"/>
          <w:szCs w:val="25"/>
        </w:rPr>
        <w:t>anancias</w:t>
      </w:r>
      <w:r w:rsidR="008802DD" w:rsidRPr="008802DD">
        <w:rPr>
          <w:rFonts w:ascii="Arial" w:hAnsi="Arial" w:cs="Arial"/>
          <w:b/>
          <w:sz w:val="25"/>
          <w:szCs w:val="25"/>
        </w:rPr>
        <w:t xml:space="preserve"> (P&amp;G)</w:t>
      </w:r>
    </w:p>
    <w:p w14:paraId="4E73E279" w14:textId="77777777" w:rsidR="008802DD" w:rsidRPr="008802DD" w:rsidRDefault="008802DD" w:rsidP="008802DD">
      <w:pPr>
        <w:pStyle w:val="Prrafodelista"/>
        <w:spacing w:after="0" w:line="240" w:lineRule="auto"/>
        <w:ind w:left="792"/>
        <w:jc w:val="both"/>
        <w:rPr>
          <w:rFonts w:ascii="Arial" w:hAnsi="Arial" w:cs="Arial"/>
          <w:sz w:val="25"/>
          <w:szCs w:val="25"/>
        </w:rPr>
      </w:pPr>
    </w:p>
    <w:p w14:paraId="4EC40EFA" w14:textId="77777777" w:rsidR="008802DD" w:rsidRDefault="008802DD" w:rsidP="00BB4E27">
      <w:pPr>
        <w:pStyle w:val="Prrafodelista"/>
        <w:spacing w:after="0" w:line="240" w:lineRule="auto"/>
        <w:ind w:left="709"/>
        <w:jc w:val="both"/>
        <w:rPr>
          <w:rFonts w:ascii="Arial" w:hAnsi="Arial" w:cs="Arial"/>
          <w:sz w:val="25"/>
          <w:szCs w:val="25"/>
        </w:rPr>
      </w:pPr>
      <w:r w:rsidRPr="008802DD">
        <w:rPr>
          <w:rFonts w:ascii="Arial" w:hAnsi="Arial" w:cs="Arial"/>
          <w:sz w:val="25"/>
          <w:szCs w:val="25"/>
        </w:rPr>
        <w:t xml:space="preserve">Cada una de las cuentas del estado de pérdidas y ganancias (cuentas de la 400000 a la 590000) utilizadas en el proceso del cálculo de los indicadores, debe estar anualizada. La anualización consiste en sumar los últimos 12 meses del valor mensual de la cuenta, no el valor acumulado. </w:t>
      </w:r>
    </w:p>
    <w:p w14:paraId="527F708D" w14:textId="77777777" w:rsidR="007107D3" w:rsidRDefault="007107D3" w:rsidP="00BB4E27">
      <w:pPr>
        <w:pStyle w:val="Prrafodelista"/>
        <w:spacing w:after="0" w:line="240" w:lineRule="auto"/>
        <w:ind w:left="709"/>
        <w:jc w:val="both"/>
        <w:rPr>
          <w:rFonts w:ascii="Arial" w:hAnsi="Arial" w:cs="Arial"/>
          <w:b/>
          <w:sz w:val="25"/>
          <w:szCs w:val="25"/>
        </w:rPr>
      </w:pPr>
    </w:p>
    <w:p w14:paraId="7E0DA1FE" w14:textId="77777777" w:rsidR="007107D3" w:rsidRPr="00094064" w:rsidRDefault="007107D3" w:rsidP="00BB4E27">
      <w:pPr>
        <w:pStyle w:val="Prrafodelista"/>
        <w:spacing w:after="0" w:line="240" w:lineRule="auto"/>
        <w:ind w:left="709"/>
        <w:jc w:val="both"/>
        <w:rPr>
          <w:rFonts w:ascii="Arial" w:hAnsi="Arial" w:cs="Arial"/>
          <w:sz w:val="25"/>
          <w:szCs w:val="25"/>
        </w:rPr>
      </w:pPr>
      <w:r w:rsidRPr="00094064">
        <w:rPr>
          <w:rFonts w:ascii="Arial" w:hAnsi="Arial" w:cs="Arial"/>
          <w:sz w:val="25"/>
          <w:szCs w:val="25"/>
        </w:rPr>
        <w:t>En el caso específico de las provisiones netas de recuperación (numerador del indicador referenciado en el numeral 4.3.2.), s</w:t>
      </w:r>
      <w:r w:rsidR="00535332" w:rsidRPr="00094064">
        <w:rPr>
          <w:rFonts w:ascii="Arial" w:hAnsi="Arial" w:cs="Arial"/>
          <w:sz w:val="25"/>
          <w:szCs w:val="25"/>
        </w:rPr>
        <w:t>e utiliza un</w:t>
      </w:r>
      <w:r w:rsidRPr="00094064">
        <w:rPr>
          <w:rFonts w:ascii="Arial" w:hAnsi="Arial" w:cs="Arial"/>
          <w:sz w:val="25"/>
          <w:szCs w:val="25"/>
        </w:rPr>
        <w:t xml:space="preserve"> acumulado</w:t>
      </w:r>
      <w:r w:rsidR="00535332" w:rsidRPr="00094064">
        <w:rPr>
          <w:rFonts w:ascii="Arial" w:hAnsi="Arial" w:cs="Arial"/>
          <w:sz w:val="25"/>
          <w:szCs w:val="25"/>
        </w:rPr>
        <w:t xml:space="preserve"> trimestral y</w:t>
      </w:r>
      <w:r w:rsidR="0069543B" w:rsidRPr="00094064">
        <w:rPr>
          <w:rFonts w:ascii="Arial" w:hAnsi="Arial" w:cs="Arial"/>
          <w:sz w:val="25"/>
          <w:szCs w:val="25"/>
        </w:rPr>
        <w:t xml:space="preserve"> no </w:t>
      </w:r>
      <w:r w:rsidR="00535332" w:rsidRPr="00094064">
        <w:rPr>
          <w:rFonts w:ascii="Arial" w:hAnsi="Arial" w:cs="Arial"/>
          <w:sz w:val="25"/>
          <w:szCs w:val="25"/>
        </w:rPr>
        <w:t>a</w:t>
      </w:r>
      <w:r w:rsidR="0069543B" w:rsidRPr="00094064">
        <w:rPr>
          <w:rFonts w:ascii="Arial" w:hAnsi="Arial" w:cs="Arial"/>
          <w:sz w:val="25"/>
          <w:szCs w:val="25"/>
        </w:rPr>
        <w:t>nualizado</w:t>
      </w:r>
      <w:r w:rsidR="00535332" w:rsidRPr="00094064">
        <w:rPr>
          <w:rFonts w:ascii="Arial" w:hAnsi="Arial" w:cs="Arial"/>
          <w:sz w:val="25"/>
          <w:szCs w:val="25"/>
        </w:rPr>
        <w:t>.</w:t>
      </w:r>
      <w:r w:rsidR="0069543B" w:rsidRPr="00094064">
        <w:rPr>
          <w:rFonts w:ascii="Arial" w:hAnsi="Arial" w:cs="Arial"/>
          <w:sz w:val="25"/>
          <w:szCs w:val="25"/>
        </w:rPr>
        <w:t xml:space="preserve"> </w:t>
      </w:r>
      <w:r w:rsidR="00535332" w:rsidRPr="00094064">
        <w:rPr>
          <w:rFonts w:ascii="Arial" w:hAnsi="Arial" w:cs="Arial"/>
          <w:sz w:val="25"/>
          <w:szCs w:val="25"/>
        </w:rPr>
        <w:t xml:space="preserve">El acumulado trimestral </w:t>
      </w:r>
      <w:r w:rsidRPr="00094064">
        <w:rPr>
          <w:rFonts w:ascii="Arial" w:hAnsi="Arial" w:cs="Arial"/>
          <w:sz w:val="25"/>
          <w:szCs w:val="25"/>
        </w:rPr>
        <w:t xml:space="preserve">consiste en sumar los últimos </w:t>
      </w:r>
      <w:r w:rsidR="002E65C0" w:rsidRPr="00094064">
        <w:rPr>
          <w:rFonts w:ascii="Arial" w:hAnsi="Arial" w:cs="Arial"/>
          <w:sz w:val="25"/>
          <w:szCs w:val="25"/>
        </w:rPr>
        <w:t>tres</w:t>
      </w:r>
      <w:r w:rsidRPr="00094064">
        <w:rPr>
          <w:rFonts w:ascii="Arial" w:hAnsi="Arial" w:cs="Arial"/>
          <w:sz w:val="25"/>
          <w:szCs w:val="25"/>
        </w:rPr>
        <w:t xml:space="preserve"> meses del valor mensual de las cuentas con las que se calcula.</w:t>
      </w:r>
    </w:p>
    <w:p w14:paraId="6C0C8621" w14:textId="77777777" w:rsidR="008802DD" w:rsidRPr="008802DD" w:rsidRDefault="008802DD" w:rsidP="008802DD">
      <w:pPr>
        <w:ind w:left="426"/>
        <w:jc w:val="both"/>
        <w:rPr>
          <w:rFonts w:ascii="Arial" w:hAnsi="Arial" w:cs="Arial"/>
          <w:b/>
          <w:sz w:val="25"/>
          <w:szCs w:val="25"/>
        </w:rPr>
      </w:pPr>
    </w:p>
    <w:p w14:paraId="37829FBE" w14:textId="77777777" w:rsidR="008802DD" w:rsidRPr="008802DD" w:rsidRDefault="007D7E9F" w:rsidP="008802DD">
      <w:pPr>
        <w:pStyle w:val="Prrafodelista"/>
        <w:numPr>
          <w:ilvl w:val="1"/>
          <w:numId w:val="5"/>
        </w:numPr>
        <w:spacing w:after="0" w:line="240" w:lineRule="auto"/>
        <w:jc w:val="both"/>
        <w:rPr>
          <w:rFonts w:ascii="Arial" w:hAnsi="Arial" w:cs="Arial"/>
          <w:b/>
          <w:sz w:val="25"/>
          <w:szCs w:val="25"/>
        </w:rPr>
      </w:pPr>
      <w:r>
        <w:rPr>
          <w:rFonts w:ascii="Arial" w:hAnsi="Arial" w:cs="Arial"/>
          <w:b/>
          <w:sz w:val="25"/>
          <w:szCs w:val="25"/>
        </w:rPr>
        <w:t xml:space="preserve"> N</w:t>
      </w:r>
      <w:r w:rsidRPr="008802DD">
        <w:rPr>
          <w:rFonts w:ascii="Arial" w:hAnsi="Arial" w:cs="Arial"/>
          <w:b/>
          <w:sz w:val="25"/>
          <w:szCs w:val="25"/>
        </w:rPr>
        <w:t>úmero de decimales utilizados en el cálculo de los indicadores</w:t>
      </w:r>
    </w:p>
    <w:p w14:paraId="29370A53" w14:textId="77777777" w:rsidR="008802DD" w:rsidRPr="008802DD" w:rsidRDefault="008802DD" w:rsidP="008802DD">
      <w:pPr>
        <w:pStyle w:val="Prrafodelista"/>
        <w:spacing w:after="0" w:line="240" w:lineRule="auto"/>
        <w:ind w:left="792"/>
        <w:jc w:val="both"/>
        <w:rPr>
          <w:rFonts w:ascii="Arial" w:hAnsi="Arial" w:cs="Arial"/>
          <w:sz w:val="25"/>
          <w:szCs w:val="25"/>
        </w:rPr>
      </w:pPr>
    </w:p>
    <w:p w14:paraId="3F93E4E0" w14:textId="77777777" w:rsidR="008802DD" w:rsidRPr="008802DD" w:rsidRDefault="008802DD" w:rsidP="00BB4E27">
      <w:pPr>
        <w:pStyle w:val="Prrafodelista"/>
        <w:spacing w:after="0" w:line="240" w:lineRule="auto"/>
        <w:ind w:left="709"/>
        <w:jc w:val="both"/>
        <w:rPr>
          <w:rFonts w:ascii="Arial" w:hAnsi="Arial" w:cs="Arial"/>
          <w:b/>
          <w:sz w:val="25"/>
          <w:szCs w:val="25"/>
        </w:rPr>
      </w:pPr>
      <w:r w:rsidRPr="008802DD">
        <w:rPr>
          <w:rFonts w:ascii="Arial" w:hAnsi="Arial" w:cs="Arial"/>
          <w:sz w:val="25"/>
          <w:szCs w:val="25"/>
        </w:rPr>
        <w:lastRenderedPageBreak/>
        <w:t>Los indicadores financieros de capital, activos, gestión, exposición del Seguro de Depósitos, rentabilidad</w:t>
      </w:r>
      <w:r w:rsidR="008F7C3C">
        <w:rPr>
          <w:rFonts w:ascii="Arial" w:hAnsi="Arial" w:cs="Arial"/>
          <w:sz w:val="25"/>
          <w:szCs w:val="25"/>
        </w:rPr>
        <w:t xml:space="preserve">, </w:t>
      </w:r>
      <w:r w:rsidRPr="008802DD">
        <w:rPr>
          <w:rFonts w:ascii="Arial" w:hAnsi="Arial" w:cs="Arial"/>
          <w:sz w:val="25"/>
          <w:szCs w:val="25"/>
        </w:rPr>
        <w:t>liquidez</w:t>
      </w:r>
      <w:r w:rsidR="008F7C3C">
        <w:rPr>
          <w:rFonts w:ascii="Arial" w:hAnsi="Arial" w:cs="Arial"/>
          <w:sz w:val="25"/>
          <w:szCs w:val="25"/>
        </w:rPr>
        <w:t xml:space="preserve"> y concentración</w:t>
      </w:r>
      <w:r w:rsidRPr="008802DD">
        <w:rPr>
          <w:rFonts w:ascii="Arial" w:hAnsi="Arial" w:cs="Arial"/>
          <w:sz w:val="25"/>
          <w:szCs w:val="25"/>
        </w:rPr>
        <w:t xml:space="preserve"> que conforman la calificación, se aproximarán a dos decimales.</w:t>
      </w:r>
    </w:p>
    <w:p w14:paraId="27C02D3C" w14:textId="77777777" w:rsidR="008802DD" w:rsidRPr="008802DD" w:rsidRDefault="008802DD" w:rsidP="008802DD">
      <w:pPr>
        <w:ind w:left="993"/>
        <w:jc w:val="both"/>
        <w:rPr>
          <w:rFonts w:ascii="Arial" w:hAnsi="Arial" w:cs="Arial"/>
          <w:sz w:val="25"/>
          <w:szCs w:val="25"/>
        </w:rPr>
      </w:pPr>
    </w:p>
    <w:p w14:paraId="129411B2" w14:textId="77777777" w:rsidR="008802DD" w:rsidRPr="008802DD" w:rsidRDefault="007D7E9F" w:rsidP="008802DD">
      <w:pPr>
        <w:pStyle w:val="Prrafodelista"/>
        <w:numPr>
          <w:ilvl w:val="1"/>
          <w:numId w:val="5"/>
        </w:numPr>
        <w:spacing w:after="0" w:line="240" w:lineRule="auto"/>
        <w:jc w:val="both"/>
        <w:rPr>
          <w:rFonts w:ascii="Arial" w:hAnsi="Arial" w:cs="Arial"/>
          <w:b/>
          <w:sz w:val="25"/>
          <w:szCs w:val="25"/>
        </w:rPr>
      </w:pPr>
      <w:r>
        <w:rPr>
          <w:rFonts w:ascii="Arial" w:hAnsi="Arial" w:cs="Arial"/>
          <w:b/>
          <w:sz w:val="25"/>
          <w:szCs w:val="25"/>
        </w:rPr>
        <w:t xml:space="preserve"> C</w:t>
      </w:r>
      <w:r w:rsidRPr="008802DD">
        <w:rPr>
          <w:rFonts w:ascii="Arial" w:hAnsi="Arial" w:cs="Arial"/>
          <w:b/>
          <w:sz w:val="25"/>
          <w:szCs w:val="25"/>
        </w:rPr>
        <w:t>ierres contables</w:t>
      </w:r>
    </w:p>
    <w:p w14:paraId="5577844C" w14:textId="77777777" w:rsidR="008802DD" w:rsidRPr="008802DD" w:rsidRDefault="008802DD" w:rsidP="008802DD">
      <w:pPr>
        <w:pStyle w:val="Prrafodelista"/>
        <w:spacing w:after="0" w:line="240" w:lineRule="auto"/>
        <w:ind w:left="792"/>
        <w:jc w:val="both"/>
        <w:rPr>
          <w:rFonts w:ascii="Arial" w:hAnsi="Arial" w:cs="Arial"/>
          <w:sz w:val="25"/>
          <w:szCs w:val="25"/>
        </w:rPr>
      </w:pPr>
    </w:p>
    <w:p w14:paraId="651B3F02" w14:textId="77777777" w:rsidR="008802DD" w:rsidRPr="008802DD" w:rsidRDefault="008802DD" w:rsidP="00BB4E27">
      <w:pPr>
        <w:pStyle w:val="Prrafodelista"/>
        <w:spacing w:after="0" w:line="240" w:lineRule="auto"/>
        <w:ind w:left="709"/>
        <w:jc w:val="both"/>
        <w:rPr>
          <w:rFonts w:ascii="Arial" w:hAnsi="Arial" w:cs="Arial"/>
          <w:b/>
          <w:sz w:val="25"/>
          <w:szCs w:val="25"/>
        </w:rPr>
      </w:pPr>
      <w:r w:rsidRPr="008802DD">
        <w:rPr>
          <w:rFonts w:ascii="Arial" w:hAnsi="Arial" w:cs="Arial"/>
          <w:sz w:val="25"/>
          <w:szCs w:val="25"/>
        </w:rPr>
        <w:t>El Fondo validará con la Superintendencia Financiera de Colombia los cierres contables de las entidades inscritas.</w:t>
      </w:r>
    </w:p>
    <w:p w14:paraId="614D230A" w14:textId="77777777" w:rsidR="008802DD" w:rsidRPr="008802DD" w:rsidRDefault="008802DD" w:rsidP="008802DD">
      <w:pPr>
        <w:ind w:left="426"/>
        <w:jc w:val="both"/>
        <w:rPr>
          <w:rFonts w:ascii="Arial" w:hAnsi="Arial" w:cs="Arial"/>
          <w:sz w:val="25"/>
          <w:szCs w:val="25"/>
        </w:rPr>
      </w:pPr>
    </w:p>
    <w:p w14:paraId="67462560" w14:textId="1009F6F1" w:rsidR="008802DD" w:rsidRPr="008802DD" w:rsidRDefault="008802DD" w:rsidP="008802DD">
      <w:pPr>
        <w:jc w:val="both"/>
        <w:rPr>
          <w:rFonts w:ascii="Arial" w:hAnsi="Arial" w:cs="Arial"/>
          <w:sz w:val="25"/>
          <w:szCs w:val="25"/>
        </w:rPr>
      </w:pPr>
      <w:r w:rsidRPr="008802DD">
        <w:rPr>
          <w:rFonts w:ascii="Arial" w:hAnsi="Arial" w:cs="Arial"/>
          <w:sz w:val="25"/>
          <w:szCs w:val="25"/>
        </w:rPr>
        <w:t xml:space="preserve">Esta Circular </w:t>
      </w:r>
      <w:r w:rsidR="00301DAF" w:rsidRPr="00301DAF">
        <w:rPr>
          <w:rFonts w:ascii="Arial" w:hAnsi="Arial" w:cs="Arial"/>
          <w:sz w:val="25"/>
          <w:szCs w:val="25"/>
        </w:rPr>
        <w:t>entrará a regir a partir del cálculo de la prima correspondiente al primer trimestre de 2020,</w:t>
      </w:r>
      <w:r w:rsidRPr="008802DD">
        <w:rPr>
          <w:rFonts w:ascii="Arial" w:hAnsi="Arial" w:cs="Arial"/>
          <w:sz w:val="25"/>
          <w:szCs w:val="25"/>
        </w:rPr>
        <w:t xml:space="preserve"> y </w:t>
      </w:r>
      <w:r w:rsidR="00301DAF">
        <w:rPr>
          <w:rFonts w:ascii="Arial" w:hAnsi="Arial" w:cs="Arial"/>
          <w:sz w:val="25"/>
          <w:szCs w:val="25"/>
        </w:rPr>
        <w:t xml:space="preserve">desde ese momento </w:t>
      </w:r>
      <w:r w:rsidRPr="008802DD">
        <w:rPr>
          <w:rFonts w:ascii="Arial" w:hAnsi="Arial" w:cs="Arial"/>
          <w:sz w:val="25"/>
          <w:szCs w:val="25"/>
        </w:rPr>
        <w:t>deroga</w:t>
      </w:r>
      <w:r w:rsidR="00301DAF">
        <w:rPr>
          <w:rFonts w:ascii="Arial" w:hAnsi="Arial" w:cs="Arial"/>
          <w:sz w:val="25"/>
          <w:szCs w:val="25"/>
        </w:rPr>
        <w:t>rá</w:t>
      </w:r>
      <w:r w:rsidRPr="008802DD">
        <w:rPr>
          <w:rFonts w:ascii="Arial" w:hAnsi="Arial" w:cs="Arial"/>
          <w:sz w:val="25"/>
          <w:szCs w:val="25"/>
        </w:rPr>
        <w:t xml:space="preserve"> la Circular Interna 0</w:t>
      </w:r>
      <w:r w:rsidR="00D0600A">
        <w:rPr>
          <w:rFonts w:ascii="Arial" w:hAnsi="Arial" w:cs="Arial"/>
          <w:sz w:val="25"/>
          <w:szCs w:val="25"/>
        </w:rPr>
        <w:t>10</w:t>
      </w:r>
      <w:r w:rsidRPr="008802DD">
        <w:rPr>
          <w:rFonts w:ascii="Arial" w:hAnsi="Arial" w:cs="Arial"/>
          <w:sz w:val="25"/>
          <w:szCs w:val="25"/>
        </w:rPr>
        <w:t xml:space="preserve"> del</w:t>
      </w:r>
      <w:r w:rsidR="00094064">
        <w:rPr>
          <w:rFonts w:ascii="Arial" w:hAnsi="Arial" w:cs="Arial"/>
          <w:sz w:val="25"/>
          <w:szCs w:val="25"/>
        </w:rPr>
        <w:t xml:space="preserve"> </w:t>
      </w:r>
      <w:r w:rsidR="00D0600A">
        <w:rPr>
          <w:rFonts w:ascii="Arial" w:hAnsi="Arial" w:cs="Arial"/>
          <w:sz w:val="25"/>
          <w:szCs w:val="25"/>
        </w:rPr>
        <w:t>21</w:t>
      </w:r>
      <w:r w:rsidR="0086349A">
        <w:rPr>
          <w:rFonts w:ascii="Arial" w:hAnsi="Arial" w:cs="Arial"/>
          <w:sz w:val="25"/>
          <w:szCs w:val="25"/>
        </w:rPr>
        <w:t xml:space="preserve"> de </w:t>
      </w:r>
      <w:r w:rsidR="00D0600A">
        <w:rPr>
          <w:rFonts w:ascii="Arial" w:hAnsi="Arial" w:cs="Arial"/>
          <w:sz w:val="25"/>
          <w:szCs w:val="25"/>
        </w:rPr>
        <w:t>agost</w:t>
      </w:r>
      <w:r w:rsidR="0086349A">
        <w:rPr>
          <w:rFonts w:ascii="Arial" w:hAnsi="Arial" w:cs="Arial"/>
          <w:sz w:val="25"/>
          <w:szCs w:val="25"/>
        </w:rPr>
        <w:t>o de 2019</w:t>
      </w:r>
      <w:r w:rsidRPr="008802DD">
        <w:rPr>
          <w:rFonts w:ascii="Arial" w:hAnsi="Arial" w:cs="Arial"/>
          <w:sz w:val="25"/>
          <w:szCs w:val="25"/>
        </w:rPr>
        <w:t>.</w:t>
      </w:r>
    </w:p>
    <w:p w14:paraId="0914BF8D" w14:textId="77777777" w:rsidR="008802DD" w:rsidRDefault="008802DD" w:rsidP="008802DD">
      <w:pPr>
        <w:jc w:val="both"/>
        <w:rPr>
          <w:rFonts w:ascii="Arial" w:hAnsi="Arial" w:cs="Arial"/>
          <w:sz w:val="25"/>
          <w:szCs w:val="25"/>
        </w:rPr>
      </w:pPr>
    </w:p>
    <w:p w14:paraId="7C05385F" w14:textId="77777777" w:rsidR="008802DD" w:rsidRPr="008802DD" w:rsidRDefault="008802DD" w:rsidP="008802DD">
      <w:pPr>
        <w:jc w:val="both"/>
        <w:rPr>
          <w:rFonts w:ascii="Arial" w:hAnsi="Arial" w:cs="Arial"/>
          <w:sz w:val="25"/>
          <w:szCs w:val="25"/>
        </w:rPr>
      </w:pPr>
      <w:r w:rsidRPr="008802DD">
        <w:rPr>
          <w:rFonts w:ascii="Arial" w:hAnsi="Arial" w:cs="Arial"/>
          <w:sz w:val="25"/>
          <w:szCs w:val="25"/>
        </w:rPr>
        <w:t>Cordialmente,</w:t>
      </w:r>
    </w:p>
    <w:p w14:paraId="6F507E88" w14:textId="77777777" w:rsidR="008802DD" w:rsidRPr="008802DD" w:rsidRDefault="008802DD" w:rsidP="008802DD">
      <w:pPr>
        <w:jc w:val="both"/>
        <w:rPr>
          <w:rFonts w:ascii="Arial" w:hAnsi="Arial" w:cs="Arial"/>
          <w:sz w:val="25"/>
          <w:szCs w:val="25"/>
        </w:rPr>
      </w:pPr>
    </w:p>
    <w:p w14:paraId="7E132881" w14:textId="77777777" w:rsidR="008802DD" w:rsidRDefault="008802DD" w:rsidP="008802DD">
      <w:pPr>
        <w:jc w:val="both"/>
        <w:rPr>
          <w:rFonts w:ascii="Arial" w:hAnsi="Arial" w:cs="Arial"/>
          <w:sz w:val="25"/>
          <w:szCs w:val="25"/>
        </w:rPr>
      </w:pPr>
    </w:p>
    <w:p w14:paraId="4005DBDE" w14:textId="77777777" w:rsidR="00575A56" w:rsidRPr="008802DD" w:rsidRDefault="00575A56" w:rsidP="008802DD">
      <w:pPr>
        <w:jc w:val="both"/>
        <w:rPr>
          <w:rFonts w:ascii="Arial" w:hAnsi="Arial" w:cs="Arial"/>
          <w:sz w:val="25"/>
          <w:szCs w:val="25"/>
        </w:rPr>
      </w:pPr>
    </w:p>
    <w:p w14:paraId="3BD0A8FE" w14:textId="77777777" w:rsidR="008802DD" w:rsidRPr="008802DD" w:rsidRDefault="008802DD" w:rsidP="008802DD">
      <w:pPr>
        <w:jc w:val="both"/>
        <w:rPr>
          <w:rFonts w:ascii="Arial" w:hAnsi="Arial" w:cs="Arial"/>
          <w:sz w:val="25"/>
          <w:szCs w:val="25"/>
        </w:rPr>
      </w:pPr>
    </w:p>
    <w:p w14:paraId="4EEFEDD7" w14:textId="1CFB153D" w:rsidR="008802DD" w:rsidRPr="008802DD" w:rsidRDefault="00860878" w:rsidP="008802DD">
      <w:pPr>
        <w:jc w:val="both"/>
        <w:rPr>
          <w:rFonts w:ascii="Arial" w:hAnsi="Arial" w:cs="Arial"/>
          <w:b/>
          <w:sz w:val="25"/>
          <w:szCs w:val="25"/>
        </w:rPr>
      </w:pPr>
      <w:r>
        <w:rPr>
          <w:rFonts w:ascii="Arial" w:hAnsi="Arial" w:cs="Arial"/>
          <w:b/>
          <w:sz w:val="25"/>
          <w:szCs w:val="25"/>
        </w:rPr>
        <w:t>ANDRÉS VALENCIA PINZÓN</w:t>
      </w:r>
      <w:r w:rsidR="008802DD" w:rsidRPr="008802DD">
        <w:rPr>
          <w:rFonts w:ascii="Arial" w:hAnsi="Arial" w:cs="Arial"/>
          <w:b/>
          <w:sz w:val="25"/>
          <w:szCs w:val="25"/>
        </w:rPr>
        <w:tab/>
      </w:r>
      <w:r w:rsidR="00E43960">
        <w:rPr>
          <w:rFonts w:ascii="Arial" w:hAnsi="Arial" w:cs="Arial"/>
          <w:b/>
          <w:sz w:val="25"/>
          <w:szCs w:val="25"/>
        </w:rPr>
        <w:tab/>
      </w:r>
    </w:p>
    <w:p w14:paraId="65843B94" w14:textId="76B11BCA" w:rsidR="005F7AAF" w:rsidRPr="008802DD" w:rsidRDefault="008802DD" w:rsidP="007D7E9F">
      <w:pPr>
        <w:jc w:val="both"/>
        <w:rPr>
          <w:rFonts w:ascii="Arial" w:hAnsi="Arial" w:cs="Arial"/>
          <w:sz w:val="25"/>
          <w:szCs w:val="25"/>
        </w:rPr>
      </w:pPr>
      <w:bookmarkStart w:id="1" w:name="_GoBack"/>
      <w:bookmarkEnd w:id="1"/>
      <w:r w:rsidRPr="008802DD">
        <w:rPr>
          <w:rFonts w:ascii="Arial" w:hAnsi="Arial" w:cs="Arial"/>
          <w:sz w:val="25"/>
          <w:szCs w:val="25"/>
        </w:rPr>
        <w:t>Director</w:t>
      </w:r>
      <w:r w:rsidRPr="008802DD">
        <w:rPr>
          <w:rFonts w:ascii="Arial" w:hAnsi="Arial" w:cs="Arial"/>
          <w:sz w:val="25"/>
          <w:szCs w:val="25"/>
        </w:rPr>
        <w:tab/>
      </w:r>
      <w:r w:rsidRPr="008802DD">
        <w:rPr>
          <w:rFonts w:ascii="Arial" w:hAnsi="Arial" w:cs="Arial"/>
          <w:sz w:val="25"/>
          <w:szCs w:val="25"/>
        </w:rPr>
        <w:tab/>
      </w:r>
      <w:r w:rsidRPr="008802DD">
        <w:rPr>
          <w:rFonts w:ascii="Arial" w:hAnsi="Arial" w:cs="Arial"/>
          <w:sz w:val="25"/>
          <w:szCs w:val="25"/>
        </w:rPr>
        <w:tab/>
      </w:r>
      <w:r w:rsidR="007D7E9F">
        <w:rPr>
          <w:rFonts w:ascii="Arial" w:hAnsi="Arial" w:cs="Arial"/>
          <w:sz w:val="25"/>
          <w:szCs w:val="25"/>
        </w:rPr>
        <w:t xml:space="preserve">        </w:t>
      </w:r>
    </w:p>
    <w:sectPr w:rsidR="005F7AAF" w:rsidRPr="008802DD" w:rsidSect="002C335D">
      <w:headerReference w:type="default" r:id="rId13"/>
      <w:footerReference w:type="default" r:id="rId14"/>
      <w:pgSz w:w="12242" w:h="15842" w:code="1"/>
      <w:pgMar w:top="899" w:right="1418" w:bottom="1418" w:left="1701"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B74A69" w14:textId="77777777" w:rsidR="006E486A" w:rsidRDefault="006E486A">
      <w:r>
        <w:separator/>
      </w:r>
    </w:p>
  </w:endnote>
  <w:endnote w:type="continuationSeparator" w:id="0">
    <w:p w14:paraId="7B82F89F" w14:textId="77777777" w:rsidR="006E486A" w:rsidRDefault="006E4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5872052"/>
      <w:docPartObj>
        <w:docPartGallery w:val="Page Numbers (Bottom of Page)"/>
        <w:docPartUnique/>
      </w:docPartObj>
    </w:sdtPr>
    <w:sdtEndPr/>
    <w:sdtContent>
      <w:p w14:paraId="536B7446" w14:textId="1A190B93" w:rsidR="00AE2653" w:rsidRDefault="00AE2653">
        <w:pPr>
          <w:pStyle w:val="Piedepgina"/>
          <w:jc w:val="right"/>
        </w:pPr>
        <w:r>
          <w:fldChar w:fldCharType="begin"/>
        </w:r>
        <w:r>
          <w:instrText>PAGE   \* MERGEFORMAT</w:instrText>
        </w:r>
        <w:r>
          <w:fldChar w:fldCharType="separate"/>
        </w:r>
        <w:r>
          <w:t>2</w:t>
        </w:r>
        <w:r>
          <w:fldChar w:fldCharType="end"/>
        </w:r>
        <w:r w:rsidR="00EC1AAE">
          <w:t xml:space="preserve"> de </w:t>
        </w:r>
        <w:r w:rsidR="00EF2F80">
          <w:t>11</w:t>
        </w:r>
      </w:p>
    </w:sdtContent>
  </w:sdt>
  <w:p w14:paraId="5C587C2B" w14:textId="77777777" w:rsidR="002F7D11" w:rsidRDefault="002F7D11" w:rsidP="00287042">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F58ADD" w14:textId="77777777" w:rsidR="006E486A" w:rsidRDefault="006E486A">
      <w:r>
        <w:separator/>
      </w:r>
    </w:p>
  </w:footnote>
  <w:footnote w:type="continuationSeparator" w:id="0">
    <w:p w14:paraId="2FCF9D52" w14:textId="77777777" w:rsidR="006E486A" w:rsidRDefault="006E486A">
      <w:r>
        <w:continuationSeparator/>
      </w:r>
    </w:p>
  </w:footnote>
  <w:footnote w:id="1">
    <w:p w14:paraId="1CEE7AE1" w14:textId="77777777" w:rsidR="008802DD" w:rsidRPr="00043CE1" w:rsidRDefault="008802DD" w:rsidP="008802DD">
      <w:pPr>
        <w:pStyle w:val="Textonotapie"/>
        <w:rPr>
          <w:rFonts w:ascii="Arial" w:hAnsi="Arial" w:cs="Arial"/>
          <w:lang w:val="es-CO"/>
        </w:rPr>
      </w:pPr>
      <w:r w:rsidRPr="00043CE1">
        <w:rPr>
          <w:rStyle w:val="Refdenotaalpie"/>
          <w:rFonts w:ascii="Arial" w:hAnsi="Arial" w:cs="Arial"/>
        </w:rPr>
        <w:footnoteRef/>
      </w:r>
      <w:r w:rsidRPr="00043CE1">
        <w:rPr>
          <w:rFonts w:ascii="Arial" w:hAnsi="Arial" w:cs="Arial"/>
        </w:rPr>
        <w:t xml:space="preserve"> </w:t>
      </w:r>
      <w:r w:rsidRPr="00043CE1">
        <w:rPr>
          <w:rFonts w:ascii="Arial" w:hAnsi="Arial" w:cs="Arial"/>
          <w:lang w:val="es-CO"/>
        </w:rPr>
        <w:t>Bancos, Corporaciones Financieras</w:t>
      </w:r>
      <w:r w:rsidR="00470326">
        <w:rPr>
          <w:rFonts w:ascii="Arial" w:hAnsi="Arial" w:cs="Arial"/>
          <w:lang w:val="es-CO"/>
        </w:rPr>
        <w:t xml:space="preserve"> y</w:t>
      </w:r>
      <w:r w:rsidRPr="00043CE1">
        <w:rPr>
          <w:rFonts w:ascii="Arial" w:hAnsi="Arial" w:cs="Arial"/>
          <w:lang w:val="es-CO"/>
        </w:rPr>
        <w:t xml:space="preserve"> Compañías de Financiamiento.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CC29D" w14:textId="77777777" w:rsidR="008A262E" w:rsidRDefault="00CD6625" w:rsidP="006A1073">
    <w:pPr>
      <w:pStyle w:val="Encabezado"/>
      <w:jc w:val="right"/>
    </w:pPr>
    <w:r w:rsidRPr="006563A9">
      <w:rPr>
        <w:noProof/>
      </w:rPr>
      <w:drawing>
        <wp:anchor distT="0" distB="0" distL="114300" distR="114300" simplePos="0" relativeHeight="251659264" behindDoc="1" locked="0" layoutInCell="1" allowOverlap="1" wp14:anchorId="1F3E1DEB" wp14:editId="2D0E7D97">
          <wp:simplePos x="0" y="0"/>
          <wp:positionH relativeFrom="column">
            <wp:posOffset>0</wp:posOffset>
          </wp:positionH>
          <wp:positionV relativeFrom="paragraph">
            <wp:posOffset>-232117</wp:posOffset>
          </wp:positionV>
          <wp:extent cx="1486634" cy="678425"/>
          <wp:effectExtent l="0" t="0" r="0" b="0"/>
          <wp:wrapNone/>
          <wp:docPr id="67"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86634" cy="678425"/>
                  </a:xfrm>
                  <a:prstGeom prst="rect">
                    <a:avLst/>
                  </a:prstGeom>
                </pic:spPr>
              </pic:pic>
            </a:graphicData>
          </a:graphic>
          <wp14:sizeRelH relativeFrom="margin">
            <wp14:pctWidth>0</wp14:pctWidth>
          </wp14:sizeRelH>
          <wp14:sizeRelV relativeFrom="margin">
            <wp14:pctHeight>0</wp14:pctHeight>
          </wp14:sizeRelV>
        </wp:anchor>
      </w:drawing>
    </w:r>
  </w:p>
  <w:p w14:paraId="2CF2AF58" w14:textId="77777777" w:rsidR="008A262E" w:rsidRDefault="008A262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65700"/>
    <w:multiLevelType w:val="hybridMultilevel"/>
    <w:tmpl w:val="E54EA25C"/>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4370A65"/>
    <w:multiLevelType w:val="multilevel"/>
    <w:tmpl w:val="2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4E486FA1"/>
    <w:multiLevelType w:val="hybridMultilevel"/>
    <w:tmpl w:val="B016D326"/>
    <w:lvl w:ilvl="0" w:tplc="7982DC2C">
      <w:start w:val="2"/>
      <w:numFmt w:val="bullet"/>
      <w:lvlText w:val="-"/>
      <w:lvlJc w:val="left"/>
      <w:pPr>
        <w:ind w:left="786" w:hanging="360"/>
      </w:pPr>
      <w:rPr>
        <w:rFonts w:ascii="Arial" w:eastAsia="Times New Roman" w:hAnsi="Arial" w:hint="default"/>
        <w:b/>
      </w:rPr>
    </w:lvl>
    <w:lvl w:ilvl="1" w:tplc="2494874A">
      <w:numFmt w:val="bullet"/>
      <w:lvlText w:val="-"/>
      <w:lvlJc w:val="left"/>
      <w:pPr>
        <w:ind w:left="1506" w:hanging="360"/>
      </w:pPr>
      <w:rPr>
        <w:rFonts w:ascii="Times New Roman" w:eastAsia="Times New Roman" w:hAnsi="Times New Roman"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3" w15:restartNumberingAfterBreak="0">
    <w:nsid w:val="63D23E8B"/>
    <w:multiLevelType w:val="multilevel"/>
    <w:tmpl w:val="24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B3036A0"/>
    <w:multiLevelType w:val="multilevel"/>
    <w:tmpl w:val="C070FBC0"/>
    <w:lvl w:ilvl="0">
      <w:start w:val="4"/>
      <w:numFmt w:val="decimal"/>
      <w:lvlText w:val="%1."/>
      <w:lvlJc w:val="left"/>
      <w:pPr>
        <w:ind w:left="360" w:hanging="360"/>
      </w:pPr>
      <w:rPr>
        <w:rFonts w:hint="default"/>
      </w:rPr>
    </w:lvl>
    <w:lvl w:ilvl="1">
      <w:start w:val="1"/>
      <w:numFmt w:val="decimal"/>
      <w:lvlText w:val="%1.%2."/>
      <w:lvlJc w:val="left"/>
      <w:pPr>
        <w:ind w:left="792" w:hanging="432"/>
      </w:pPr>
      <w:rPr>
        <w:rFonts w:ascii="Arial" w:hAnsi="Arial" w:cs="Arial"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7EF83BC7"/>
    <w:multiLevelType w:val="hybridMultilevel"/>
    <w:tmpl w:val="A1BAED9E"/>
    <w:lvl w:ilvl="0" w:tplc="FB3E03F8">
      <w:start w:val="1"/>
      <w:numFmt w:val="bullet"/>
      <w:lvlText w:val="-"/>
      <w:lvlJc w:val="left"/>
      <w:pPr>
        <w:ind w:left="720" w:hanging="360"/>
      </w:pPr>
      <w:rPr>
        <w:rFonts w:ascii="Calibri" w:eastAsia="Calibri" w:hAnsi="Calibri"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715"/>
    <w:rsid w:val="00022E99"/>
    <w:rsid w:val="00043948"/>
    <w:rsid w:val="000772EF"/>
    <w:rsid w:val="00094064"/>
    <w:rsid w:val="000C64BC"/>
    <w:rsid w:val="000D0067"/>
    <w:rsid w:val="000E6FE4"/>
    <w:rsid w:val="000F031A"/>
    <w:rsid w:val="00112595"/>
    <w:rsid w:val="00123142"/>
    <w:rsid w:val="00125363"/>
    <w:rsid w:val="00132646"/>
    <w:rsid w:val="001404DA"/>
    <w:rsid w:val="00151F79"/>
    <w:rsid w:val="00193F53"/>
    <w:rsid w:val="001A7441"/>
    <w:rsid w:val="001B2790"/>
    <w:rsid w:val="001D5182"/>
    <w:rsid w:val="001D6D63"/>
    <w:rsid w:val="001E084E"/>
    <w:rsid w:val="001E3A89"/>
    <w:rsid w:val="001E4A17"/>
    <w:rsid w:val="001E7CFF"/>
    <w:rsid w:val="00212ECE"/>
    <w:rsid w:val="00216B4C"/>
    <w:rsid w:val="002514DC"/>
    <w:rsid w:val="00251573"/>
    <w:rsid w:val="002515CC"/>
    <w:rsid w:val="00265CB9"/>
    <w:rsid w:val="002759A2"/>
    <w:rsid w:val="00282864"/>
    <w:rsid w:val="00287042"/>
    <w:rsid w:val="002946F1"/>
    <w:rsid w:val="002B1241"/>
    <w:rsid w:val="002B6478"/>
    <w:rsid w:val="002C335D"/>
    <w:rsid w:val="002E65C0"/>
    <w:rsid w:val="002F7D11"/>
    <w:rsid w:val="00301DAF"/>
    <w:rsid w:val="0030402D"/>
    <w:rsid w:val="00310466"/>
    <w:rsid w:val="00344667"/>
    <w:rsid w:val="0036465F"/>
    <w:rsid w:val="00366516"/>
    <w:rsid w:val="00380F75"/>
    <w:rsid w:val="00381957"/>
    <w:rsid w:val="00387E3E"/>
    <w:rsid w:val="00392699"/>
    <w:rsid w:val="003B0995"/>
    <w:rsid w:val="003E75F7"/>
    <w:rsid w:val="003F5B19"/>
    <w:rsid w:val="004232AC"/>
    <w:rsid w:val="00441006"/>
    <w:rsid w:val="004564F1"/>
    <w:rsid w:val="00470326"/>
    <w:rsid w:val="00473F1B"/>
    <w:rsid w:val="00476715"/>
    <w:rsid w:val="004A52FC"/>
    <w:rsid w:val="004B0E46"/>
    <w:rsid w:val="004C3BFF"/>
    <w:rsid w:val="004D3C08"/>
    <w:rsid w:val="004D6CCE"/>
    <w:rsid w:val="004E4C37"/>
    <w:rsid w:val="0050413E"/>
    <w:rsid w:val="00524715"/>
    <w:rsid w:val="0052584A"/>
    <w:rsid w:val="00535332"/>
    <w:rsid w:val="005439C5"/>
    <w:rsid w:val="00557C88"/>
    <w:rsid w:val="00575A56"/>
    <w:rsid w:val="005943DA"/>
    <w:rsid w:val="005F7AAF"/>
    <w:rsid w:val="006037E5"/>
    <w:rsid w:val="00622FD8"/>
    <w:rsid w:val="00637008"/>
    <w:rsid w:val="0069543B"/>
    <w:rsid w:val="00696DFB"/>
    <w:rsid w:val="006A1073"/>
    <w:rsid w:val="006A25E6"/>
    <w:rsid w:val="006D2DD0"/>
    <w:rsid w:val="006E486A"/>
    <w:rsid w:val="007107D3"/>
    <w:rsid w:val="00727149"/>
    <w:rsid w:val="00730486"/>
    <w:rsid w:val="00742820"/>
    <w:rsid w:val="0074498B"/>
    <w:rsid w:val="007669AF"/>
    <w:rsid w:val="00770257"/>
    <w:rsid w:val="00771FC1"/>
    <w:rsid w:val="00773241"/>
    <w:rsid w:val="0078427F"/>
    <w:rsid w:val="00790B35"/>
    <w:rsid w:val="007D136C"/>
    <w:rsid w:val="007D65C4"/>
    <w:rsid w:val="007D7E9F"/>
    <w:rsid w:val="007F5F25"/>
    <w:rsid w:val="008008A1"/>
    <w:rsid w:val="00802625"/>
    <w:rsid w:val="00811198"/>
    <w:rsid w:val="0084314E"/>
    <w:rsid w:val="00843282"/>
    <w:rsid w:val="00860878"/>
    <w:rsid w:val="008622E7"/>
    <w:rsid w:val="008623EB"/>
    <w:rsid w:val="0086349A"/>
    <w:rsid w:val="00877318"/>
    <w:rsid w:val="008802DD"/>
    <w:rsid w:val="0088189D"/>
    <w:rsid w:val="008A262E"/>
    <w:rsid w:val="008C251A"/>
    <w:rsid w:val="008F7C3C"/>
    <w:rsid w:val="009216B2"/>
    <w:rsid w:val="00942A85"/>
    <w:rsid w:val="00957011"/>
    <w:rsid w:val="0096140F"/>
    <w:rsid w:val="00977BA8"/>
    <w:rsid w:val="009A0D5D"/>
    <w:rsid w:val="009C636E"/>
    <w:rsid w:val="009F4E8C"/>
    <w:rsid w:val="009F7F5F"/>
    <w:rsid w:val="00A40D74"/>
    <w:rsid w:val="00A514F0"/>
    <w:rsid w:val="00A54C55"/>
    <w:rsid w:val="00A70BCE"/>
    <w:rsid w:val="00A7721A"/>
    <w:rsid w:val="00A85B23"/>
    <w:rsid w:val="00A8673C"/>
    <w:rsid w:val="00A878C7"/>
    <w:rsid w:val="00AD1E4A"/>
    <w:rsid w:val="00AD54FD"/>
    <w:rsid w:val="00AD6AB3"/>
    <w:rsid w:val="00AE2653"/>
    <w:rsid w:val="00AF7F62"/>
    <w:rsid w:val="00B22D46"/>
    <w:rsid w:val="00B56C0A"/>
    <w:rsid w:val="00B63099"/>
    <w:rsid w:val="00BB06A6"/>
    <w:rsid w:val="00BB4E27"/>
    <w:rsid w:val="00BD2A96"/>
    <w:rsid w:val="00BD6A94"/>
    <w:rsid w:val="00BE3598"/>
    <w:rsid w:val="00BF048D"/>
    <w:rsid w:val="00BF20A0"/>
    <w:rsid w:val="00C24EEB"/>
    <w:rsid w:val="00C261EB"/>
    <w:rsid w:val="00C3628C"/>
    <w:rsid w:val="00C550F0"/>
    <w:rsid w:val="00C66875"/>
    <w:rsid w:val="00C74320"/>
    <w:rsid w:val="00C845EE"/>
    <w:rsid w:val="00C86C6B"/>
    <w:rsid w:val="00C86EF2"/>
    <w:rsid w:val="00CA16A6"/>
    <w:rsid w:val="00CD6625"/>
    <w:rsid w:val="00CE33B8"/>
    <w:rsid w:val="00D0600A"/>
    <w:rsid w:val="00D15797"/>
    <w:rsid w:val="00D534E9"/>
    <w:rsid w:val="00D85331"/>
    <w:rsid w:val="00D911F4"/>
    <w:rsid w:val="00D951F4"/>
    <w:rsid w:val="00DA20F2"/>
    <w:rsid w:val="00DC14D2"/>
    <w:rsid w:val="00DD13DC"/>
    <w:rsid w:val="00DE753C"/>
    <w:rsid w:val="00E06DBA"/>
    <w:rsid w:val="00E12F40"/>
    <w:rsid w:val="00E235E0"/>
    <w:rsid w:val="00E25688"/>
    <w:rsid w:val="00E26D1F"/>
    <w:rsid w:val="00E43960"/>
    <w:rsid w:val="00E4735B"/>
    <w:rsid w:val="00E56739"/>
    <w:rsid w:val="00E63175"/>
    <w:rsid w:val="00E82485"/>
    <w:rsid w:val="00E85CE9"/>
    <w:rsid w:val="00E90634"/>
    <w:rsid w:val="00E92698"/>
    <w:rsid w:val="00EC1AAE"/>
    <w:rsid w:val="00ED20E6"/>
    <w:rsid w:val="00EF2F80"/>
    <w:rsid w:val="00F00363"/>
    <w:rsid w:val="00F05728"/>
    <w:rsid w:val="00F13D32"/>
    <w:rsid w:val="00F27844"/>
    <w:rsid w:val="00F4640C"/>
    <w:rsid w:val="00F47636"/>
    <w:rsid w:val="00F85F4B"/>
    <w:rsid w:val="00F94436"/>
    <w:rsid w:val="00FC149E"/>
    <w:rsid w:val="00FF0169"/>
    <w:rsid w:val="00FF659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7353C6"/>
  <w15:chartTrackingRefBased/>
  <w15:docId w15:val="{7EF009A0-CBDB-4DC6-AACF-09A6D5C47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Body Text" w:uiPriority="99"/>
    <w:lsdException w:name="Subtitle" w:qFormat="1"/>
    <w:lsdException w:name="Strong"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4D6C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rsid w:val="005439C5"/>
    <w:pPr>
      <w:tabs>
        <w:tab w:val="center" w:pos="4252"/>
        <w:tab w:val="right" w:pos="8504"/>
      </w:tabs>
    </w:pPr>
    <w:rPr>
      <w:sz w:val="20"/>
      <w:szCs w:val="20"/>
      <w:lang w:val="es-ES_tradnl"/>
    </w:rPr>
  </w:style>
  <w:style w:type="paragraph" w:styleId="Piedepgina">
    <w:name w:val="footer"/>
    <w:basedOn w:val="Normal"/>
    <w:link w:val="PiedepginaCar"/>
    <w:uiPriority w:val="99"/>
    <w:rsid w:val="00B22D46"/>
    <w:pPr>
      <w:tabs>
        <w:tab w:val="center" w:pos="4252"/>
        <w:tab w:val="right" w:pos="8504"/>
      </w:tabs>
    </w:pPr>
  </w:style>
  <w:style w:type="paragraph" w:styleId="Textodeglobo">
    <w:name w:val="Balloon Text"/>
    <w:basedOn w:val="Normal"/>
    <w:link w:val="TextodegloboCar"/>
    <w:rsid w:val="002F7D11"/>
    <w:rPr>
      <w:rFonts w:ascii="Tahoma" w:hAnsi="Tahoma"/>
      <w:sz w:val="16"/>
      <w:szCs w:val="16"/>
    </w:rPr>
  </w:style>
  <w:style w:type="character" w:customStyle="1" w:styleId="TextodegloboCar">
    <w:name w:val="Texto de globo Car"/>
    <w:link w:val="Textodeglobo"/>
    <w:rsid w:val="002F7D11"/>
    <w:rPr>
      <w:rFonts w:ascii="Tahoma" w:hAnsi="Tahoma" w:cs="Tahoma"/>
      <w:sz w:val="16"/>
      <w:szCs w:val="16"/>
      <w:lang w:val="es-ES" w:eastAsia="es-ES"/>
    </w:rPr>
  </w:style>
  <w:style w:type="paragraph" w:styleId="Textonotapie">
    <w:name w:val="footnote text"/>
    <w:basedOn w:val="Normal"/>
    <w:link w:val="TextonotapieCar"/>
    <w:uiPriority w:val="99"/>
    <w:rsid w:val="008802DD"/>
    <w:rPr>
      <w:sz w:val="20"/>
      <w:szCs w:val="20"/>
    </w:rPr>
  </w:style>
  <w:style w:type="character" w:customStyle="1" w:styleId="TextonotapieCar">
    <w:name w:val="Texto nota pie Car"/>
    <w:basedOn w:val="Fuentedeprrafopredeter"/>
    <w:link w:val="Textonotapie"/>
    <w:uiPriority w:val="99"/>
    <w:rsid w:val="008802DD"/>
    <w:rPr>
      <w:lang w:val="es-ES" w:eastAsia="es-ES"/>
    </w:rPr>
  </w:style>
  <w:style w:type="character" w:styleId="Refdenotaalpie">
    <w:name w:val="footnote reference"/>
    <w:uiPriority w:val="99"/>
    <w:rsid w:val="008802DD"/>
    <w:rPr>
      <w:rFonts w:cs="Times New Roman"/>
      <w:vertAlign w:val="superscript"/>
    </w:rPr>
  </w:style>
  <w:style w:type="paragraph" w:styleId="Textoindependiente">
    <w:name w:val="Body Text"/>
    <w:basedOn w:val="Normal"/>
    <w:link w:val="TextoindependienteCar"/>
    <w:uiPriority w:val="99"/>
    <w:rsid w:val="008802DD"/>
    <w:pPr>
      <w:jc w:val="both"/>
    </w:pPr>
    <w:rPr>
      <w:rFonts w:ascii="Arial" w:hAnsi="Arial"/>
    </w:rPr>
  </w:style>
  <w:style w:type="character" w:customStyle="1" w:styleId="TextoindependienteCar">
    <w:name w:val="Texto independiente Car"/>
    <w:basedOn w:val="Fuentedeprrafopredeter"/>
    <w:link w:val="Textoindependiente"/>
    <w:uiPriority w:val="99"/>
    <w:rsid w:val="008802DD"/>
    <w:rPr>
      <w:rFonts w:ascii="Arial" w:hAnsi="Arial"/>
      <w:sz w:val="24"/>
      <w:szCs w:val="24"/>
      <w:lang w:val="es-ES" w:eastAsia="es-ES"/>
    </w:rPr>
  </w:style>
  <w:style w:type="paragraph" w:styleId="Prrafodelista">
    <w:name w:val="List Paragraph"/>
    <w:basedOn w:val="Normal"/>
    <w:uiPriority w:val="34"/>
    <w:qFormat/>
    <w:rsid w:val="008802DD"/>
    <w:pPr>
      <w:spacing w:after="200" w:line="276" w:lineRule="auto"/>
      <w:ind w:left="720"/>
      <w:contextualSpacing/>
    </w:pPr>
    <w:rPr>
      <w:rFonts w:ascii="Calibri" w:hAnsi="Calibri"/>
      <w:sz w:val="22"/>
      <w:szCs w:val="22"/>
      <w:lang w:val="es-CO" w:eastAsia="en-US"/>
    </w:rPr>
  </w:style>
  <w:style w:type="character" w:styleId="nfasis">
    <w:name w:val="Emphasis"/>
    <w:uiPriority w:val="20"/>
    <w:qFormat/>
    <w:rsid w:val="008802DD"/>
    <w:rPr>
      <w:i/>
      <w:iCs/>
    </w:rPr>
  </w:style>
  <w:style w:type="character" w:customStyle="1" w:styleId="apple-converted-space">
    <w:name w:val="apple-converted-space"/>
    <w:rsid w:val="008802DD"/>
  </w:style>
  <w:style w:type="character" w:styleId="Refdecomentario">
    <w:name w:val="annotation reference"/>
    <w:basedOn w:val="Fuentedeprrafopredeter"/>
    <w:rsid w:val="00843282"/>
    <w:rPr>
      <w:sz w:val="16"/>
      <w:szCs w:val="16"/>
    </w:rPr>
  </w:style>
  <w:style w:type="paragraph" w:styleId="Textocomentario">
    <w:name w:val="annotation text"/>
    <w:basedOn w:val="Normal"/>
    <w:link w:val="TextocomentarioCar"/>
    <w:rsid w:val="00843282"/>
    <w:rPr>
      <w:sz w:val="20"/>
      <w:szCs w:val="20"/>
    </w:rPr>
  </w:style>
  <w:style w:type="character" w:customStyle="1" w:styleId="TextocomentarioCar">
    <w:name w:val="Texto comentario Car"/>
    <w:basedOn w:val="Fuentedeprrafopredeter"/>
    <w:link w:val="Textocomentario"/>
    <w:rsid w:val="00843282"/>
    <w:rPr>
      <w:lang w:val="es-ES" w:eastAsia="es-ES"/>
    </w:rPr>
  </w:style>
  <w:style w:type="paragraph" w:styleId="Asuntodelcomentario">
    <w:name w:val="annotation subject"/>
    <w:basedOn w:val="Textocomentario"/>
    <w:next w:val="Textocomentario"/>
    <w:link w:val="AsuntodelcomentarioCar"/>
    <w:rsid w:val="00843282"/>
    <w:rPr>
      <w:b/>
      <w:bCs/>
    </w:rPr>
  </w:style>
  <w:style w:type="character" w:customStyle="1" w:styleId="AsuntodelcomentarioCar">
    <w:name w:val="Asunto del comentario Car"/>
    <w:basedOn w:val="TextocomentarioCar"/>
    <w:link w:val="Asuntodelcomentario"/>
    <w:rsid w:val="00843282"/>
    <w:rPr>
      <w:b/>
      <w:bCs/>
      <w:lang w:val="es-ES" w:eastAsia="es-ES"/>
    </w:rPr>
  </w:style>
  <w:style w:type="character" w:customStyle="1" w:styleId="PiedepginaCar">
    <w:name w:val="Pie de página Car"/>
    <w:basedOn w:val="Fuentedeprrafopredeter"/>
    <w:link w:val="Piedepgina"/>
    <w:uiPriority w:val="99"/>
    <w:rsid w:val="00AE2653"/>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0642616">
      <w:bodyDiv w:val="1"/>
      <w:marLeft w:val="0"/>
      <w:marRight w:val="0"/>
      <w:marTop w:val="0"/>
      <w:marBottom w:val="0"/>
      <w:divBdr>
        <w:top w:val="none" w:sz="0" w:space="0" w:color="auto"/>
        <w:left w:val="none" w:sz="0" w:space="0" w:color="auto"/>
        <w:bottom w:val="none" w:sz="0" w:space="0" w:color="auto"/>
        <w:right w:val="none" w:sz="0" w:space="0" w:color="auto"/>
      </w:divBdr>
    </w:div>
    <w:div w:id="130674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Departamento xmlns="86fbb03e-06d9-4e12-899b-85ae2e791394">Jurídico</Departamento>
    <Macroprocesos xmlns="3410525b-d2fa-4a3d-a768-156301000eb6">14</Macroproceso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D6EA729DC2D5364692565BF43CEEA661" ma:contentTypeVersion="5" ma:contentTypeDescription="Crear nuevo documento." ma:contentTypeScope="" ma:versionID="ba78b88d6bc610b1d1f7e6662b4d6c7f">
  <xsd:schema xmlns:xsd="http://www.w3.org/2001/XMLSchema" xmlns:xs="http://www.w3.org/2001/XMLSchema" xmlns:p="http://schemas.microsoft.com/office/2006/metadata/properties" xmlns:ns2="86fbb03e-06d9-4e12-899b-85ae2e791394" xmlns:ns3="3410525b-d2fa-4a3d-a768-156301000eb6" targetNamespace="http://schemas.microsoft.com/office/2006/metadata/properties" ma:root="true" ma:fieldsID="929838af4f88dffdf3b9571a3284812e" ns2:_="" ns3:_="">
    <xsd:import namespace="86fbb03e-06d9-4e12-899b-85ae2e791394"/>
    <xsd:import namespace="3410525b-d2fa-4a3d-a768-156301000eb6"/>
    <xsd:element name="properties">
      <xsd:complexType>
        <xsd:sequence>
          <xsd:element name="documentManagement">
            <xsd:complexType>
              <xsd:all>
                <xsd:element ref="ns2:Departamento"/>
                <xsd:element ref="ns3:Macroproceso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fbb03e-06d9-4e12-899b-85ae2e791394" elementFormDefault="qualified">
    <xsd:import namespace="http://schemas.microsoft.com/office/2006/documentManagement/types"/>
    <xsd:import namespace="http://schemas.microsoft.com/office/infopath/2007/PartnerControls"/>
    <xsd:element name="Departamento" ma:index="8" ma:displayName="Departamento" ma:default="Comunicaciones y Relaciones Corporativas" ma:format="Dropdown" ma:internalName="Departamento">
      <xsd:simpleType>
        <xsd:restriction base="dms:Choice">
          <xsd:enumeration value="Comunicaciones y Relaciones Corporativas"/>
          <xsd:enumeration value="Auditoria Interna"/>
          <xsd:enumeration value="Información Financiera"/>
          <xsd:enumeration value="Dirección"/>
          <xsd:enumeration value="Riesgos Financieros de la Reserva"/>
          <xsd:enumeration value="Gestión de Contenidos"/>
          <xsd:enumeration value="Talento Humano"/>
          <xsd:enumeration value="Riesgo Operativo y Procesos"/>
          <xsd:enumeration value="Análisis de Entidades Financieras y Simulacros"/>
          <xsd:enumeration value="Jurídico"/>
          <xsd:enumeration value="Gestión de Otros Archivos"/>
          <xsd:enumeration value="Resolución y Liquidaciones"/>
          <xsd:enumeration value="Operaciones de Tesoreria"/>
          <xsd:enumeration value="Sistema de Seguro de Depósitos"/>
          <xsd:enumeration value="Planeación y Proyectos"/>
          <xsd:enumeration value="Gestión de Inversiones"/>
          <xsd:enumeration value="Subdireción Corporativa"/>
          <xsd:enumeration value="Desarrollo Administrativo"/>
          <xsd:enumeration value="Subdirección de Gestión de Activos"/>
          <xsd:enumeration value="Subdirección Financiera Y Operativa"/>
          <xsd:enumeration value="Tecnologías de La Información"/>
          <xsd:enumeration value="Subdirección de Mecanismo de Resolución"/>
        </xsd:restriction>
      </xsd:simpleType>
    </xsd:element>
  </xsd:schema>
  <xsd:schema xmlns:xsd="http://www.w3.org/2001/XMLSchema" xmlns:xs="http://www.w3.org/2001/XMLSchema" xmlns:dms="http://schemas.microsoft.com/office/2006/documentManagement/types" xmlns:pc="http://schemas.microsoft.com/office/infopath/2007/PartnerControls" targetNamespace="3410525b-d2fa-4a3d-a768-156301000eb6" elementFormDefault="qualified">
    <xsd:import namespace="http://schemas.microsoft.com/office/2006/documentManagement/types"/>
    <xsd:import namespace="http://schemas.microsoft.com/office/infopath/2007/PartnerControls"/>
    <xsd:element name="Macroprocesos" ma:index="9" ma:displayName="Proceso" ma:list="{aabdd146-37cb-46d7-8581-226074af296f}" ma:internalName="Macroprocesos" ma:readOnly="false" ma:showField="Macroproceso">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39F133-D2DE-48F0-BE25-E390D7D37E19}">
  <ds:schemaRefs>
    <ds:schemaRef ds:uri="http://schemas.microsoft.com/office/2006/metadata/longProperties"/>
  </ds:schemaRefs>
</ds:datastoreItem>
</file>

<file path=customXml/itemProps2.xml><?xml version="1.0" encoding="utf-8"?>
<ds:datastoreItem xmlns:ds="http://schemas.openxmlformats.org/officeDocument/2006/customXml" ds:itemID="{0B3FB3F7-35DB-43AD-BCE4-3049BFA3ABC0}">
  <ds:schemaRefs>
    <ds:schemaRef ds:uri="http://schemas.microsoft.com/office/2006/metadata/properties"/>
    <ds:schemaRef ds:uri="http://schemas.microsoft.com/office/infopath/2007/PartnerControls"/>
    <ds:schemaRef ds:uri="86fbb03e-06d9-4e12-899b-85ae2e791394"/>
    <ds:schemaRef ds:uri="3410525b-d2fa-4a3d-a768-156301000eb6"/>
  </ds:schemaRefs>
</ds:datastoreItem>
</file>

<file path=customXml/itemProps3.xml><?xml version="1.0" encoding="utf-8"?>
<ds:datastoreItem xmlns:ds="http://schemas.openxmlformats.org/officeDocument/2006/customXml" ds:itemID="{4D9B5FF9-95D0-4808-A519-3047F4EA1FF2}">
  <ds:schemaRefs>
    <ds:schemaRef ds:uri="http://schemas.microsoft.com/sharepoint/v3/contenttype/forms"/>
  </ds:schemaRefs>
</ds:datastoreItem>
</file>

<file path=customXml/itemProps4.xml><?xml version="1.0" encoding="utf-8"?>
<ds:datastoreItem xmlns:ds="http://schemas.openxmlformats.org/officeDocument/2006/customXml" ds:itemID="{60D97ABC-339B-4055-B537-56DE2BF26F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fbb03e-06d9-4e12-899b-85ae2e791394"/>
    <ds:schemaRef ds:uri="3410525b-d2fa-4a3d-a768-156301000e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0559E02-7E7E-41DB-AB7F-0F2CB3A33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11</Pages>
  <Words>2276</Words>
  <Characters>12521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INDTITUCIONES FINANCIERAS</Company>
  <LinksUpToDate>false</LinksUpToDate>
  <CharactersWithSpaces>14768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FONDO DE GARANTIAS DE</dc:creator>
  <cp:keywords/>
  <cp:lastModifiedBy>Efren Camacho Moreno</cp:lastModifiedBy>
  <cp:revision>7</cp:revision>
  <cp:lastPrinted>2008-10-02T22:26:00Z</cp:lastPrinted>
  <dcterms:created xsi:type="dcterms:W3CDTF">2020-10-05T18:08:00Z</dcterms:created>
  <dcterms:modified xsi:type="dcterms:W3CDTF">2020-10-05T18:25:00Z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0x010100D6EA729DC2D5364692565BF43CEEA661</vt:lpwstr>
  </property>
</Properties>
</file>