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8CB99" w14:textId="77777777" w:rsidR="00E43960" w:rsidRDefault="00E43960" w:rsidP="00641E69">
      <w:pPr>
        <w:jc w:val="center"/>
        <w:rPr>
          <w:rFonts w:ascii="Arial" w:hAnsi="Arial" w:cs="Arial"/>
          <w:b/>
          <w:sz w:val="25"/>
          <w:szCs w:val="25"/>
        </w:rPr>
      </w:pPr>
    </w:p>
    <w:p w14:paraId="51E06B53" w14:textId="77777777" w:rsidR="00E43960" w:rsidRDefault="00E43960" w:rsidP="00641E69">
      <w:pPr>
        <w:jc w:val="center"/>
        <w:rPr>
          <w:rFonts w:ascii="Arial" w:hAnsi="Arial" w:cs="Arial"/>
          <w:b/>
          <w:sz w:val="25"/>
          <w:szCs w:val="25"/>
        </w:rPr>
      </w:pPr>
    </w:p>
    <w:p w14:paraId="55C6E37A" w14:textId="31124983" w:rsidR="00476715" w:rsidRDefault="00E43C7D" w:rsidP="00641E69">
      <w:pPr>
        <w:jc w:val="center"/>
        <w:rPr>
          <w:rFonts w:ascii="Arial" w:hAnsi="Arial" w:cs="Arial"/>
          <w:b/>
          <w:sz w:val="25"/>
          <w:szCs w:val="25"/>
        </w:rPr>
      </w:pPr>
      <w:r>
        <w:rPr>
          <w:rFonts w:ascii="Arial" w:hAnsi="Arial" w:cs="Arial"/>
          <w:b/>
          <w:sz w:val="25"/>
          <w:szCs w:val="25"/>
        </w:rPr>
        <w:t xml:space="preserve">PROYECTO DE </w:t>
      </w:r>
      <w:r w:rsidR="004D6CCE" w:rsidRPr="008802DD">
        <w:rPr>
          <w:rFonts w:ascii="Arial" w:hAnsi="Arial" w:cs="Arial"/>
          <w:b/>
          <w:sz w:val="25"/>
          <w:szCs w:val="25"/>
        </w:rPr>
        <w:t>C</w:t>
      </w:r>
      <w:r w:rsidR="00476715" w:rsidRPr="008802DD">
        <w:rPr>
          <w:rFonts w:ascii="Arial" w:hAnsi="Arial" w:cs="Arial"/>
          <w:b/>
          <w:sz w:val="25"/>
          <w:szCs w:val="25"/>
        </w:rPr>
        <w:t xml:space="preserve">IRCULAR </w:t>
      </w:r>
      <w:r w:rsidR="00E43960">
        <w:rPr>
          <w:rFonts w:ascii="Arial" w:hAnsi="Arial" w:cs="Arial"/>
          <w:b/>
          <w:sz w:val="25"/>
          <w:szCs w:val="25"/>
        </w:rPr>
        <w:t>EXTER</w:t>
      </w:r>
      <w:r w:rsidR="00E43960" w:rsidRPr="008802DD">
        <w:rPr>
          <w:rFonts w:ascii="Arial" w:hAnsi="Arial" w:cs="Arial"/>
          <w:b/>
          <w:sz w:val="25"/>
          <w:szCs w:val="25"/>
        </w:rPr>
        <w:t>NA</w:t>
      </w:r>
      <w:r w:rsidR="00AB0F8F">
        <w:rPr>
          <w:rFonts w:ascii="Arial" w:hAnsi="Arial" w:cs="Arial"/>
          <w:b/>
          <w:sz w:val="25"/>
          <w:szCs w:val="25"/>
        </w:rPr>
        <w:t xml:space="preserve"> </w:t>
      </w:r>
      <w:r>
        <w:rPr>
          <w:rFonts w:ascii="Arial" w:hAnsi="Arial" w:cs="Arial"/>
          <w:b/>
          <w:sz w:val="25"/>
          <w:szCs w:val="25"/>
        </w:rPr>
        <w:t>PARA COMENTARIOS</w:t>
      </w:r>
    </w:p>
    <w:p w14:paraId="22C86D91" w14:textId="77777777" w:rsidR="00696DFB" w:rsidRPr="008802DD" w:rsidRDefault="00696DFB" w:rsidP="00641E69">
      <w:pPr>
        <w:jc w:val="center"/>
        <w:rPr>
          <w:rFonts w:ascii="Arial" w:hAnsi="Arial" w:cs="Arial"/>
          <w:b/>
          <w:sz w:val="25"/>
          <w:szCs w:val="25"/>
        </w:rPr>
      </w:pPr>
    </w:p>
    <w:p w14:paraId="2826C24E" w14:textId="0BD915C6" w:rsidR="00E43960" w:rsidRPr="008802DD" w:rsidRDefault="008802DD" w:rsidP="00641E69">
      <w:pPr>
        <w:jc w:val="both"/>
        <w:rPr>
          <w:rFonts w:ascii="Arial" w:hAnsi="Arial" w:cs="Arial"/>
          <w:sz w:val="25"/>
          <w:szCs w:val="25"/>
        </w:rPr>
      </w:pPr>
      <w:r w:rsidRPr="00094064">
        <w:rPr>
          <w:rFonts w:ascii="Arial" w:hAnsi="Arial" w:cs="Arial"/>
          <w:sz w:val="25"/>
          <w:szCs w:val="25"/>
        </w:rPr>
        <w:t xml:space="preserve">Bogotá, D.C., </w:t>
      </w:r>
    </w:p>
    <w:p w14:paraId="2E20F072" w14:textId="77777777" w:rsidR="008802DD" w:rsidRPr="008802DD" w:rsidRDefault="008802DD" w:rsidP="00641E69">
      <w:pPr>
        <w:jc w:val="both"/>
        <w:rPr>
          <w:rFonts w:ascii="Arial" w:hAnsi="Arial" w:cs="Arial"/>
          <w:sz w:val="25"/>
          <w:szCs w:val="25"/>
        </w:rPr>
      </w:pPr>
    </w:p>
    <w:p w14:paraId="61C5AD2D" w14:textId="77777777" w:rsidR="00132646" w:rsidRDefault="00132646" w:rsidP="00641E69">
      <w:pPr>
        <w:ind w:left="1134" w:hanging="1134"/>
        <w:jc w:val="both"/>
        <w:rPr>
          <w:rFonts w:ascii="Arial" w:hAnsi="Arial" w:cs="Arial"/>
          <w:sz w:val="25"/>
          <w:szCs w:val="25"/>
        </w:rPr>
      </w:pPr>
    </w:p>
    <w:p w14:paraId="40B505C7" w14:textId="02E5DE1D" w:rsidR="008802DD" w:rsidRPr="008802DD" w:rsidRDefault="008802DD" w:rsidP="00641E69">
      <w:pPr>
        <w:ind w:left="1134" w:hanging="1134"/>
        <w:jc w:val="both"/>
        <w:rPr>
          <w:rFonts w:ascii="Arial" w:hAnsi="Arial" w:cs="Arial"/>
          <w:sz w:val="25"/>
          <w:szCs w:val="25"/>
        </w:rPr>
      </w:pPr>
      <w:r w:rsidRPr="008802DD">
        <w:rPr>
          <w:rFonts w:ascii="Arial" w:hAnsi="Arial" w:cs="Arial"/>
          <w:sz w:val="25"/>
          <w:szCs w:val="25"/>
        </w:rPr>
        <w:t xml:space="preserve">PARA: </w:t>
      </w:r>
      <w:r w:rsidRPr="008802DD">
        <w:rPr>
          <w:rFonts w:ascii="Arial" w:hAnsi="Arial" w:cs="Arial"/>
          <w:sz w:val="25"/>
          <w:szCs w:val="25"/>
        </w:rPr>
        <w:tab/>
      </w:r>
      <w:r w:rsidR="0052584A">
        <w:rPr>
          <w:rFonts w:ascii="Arial" w:hAnsi="Arial" w:cs="Arial"/>
          <w:sz w:val="25"/>
          <w:szCs w:val="25"/>
        </w:rPr>
        <w:t>Bancos, Compañías de Financiamiento</w:t>
      </w:r>
      <w:r w:rsidR="00A75349">
        <w:rPr>
          <w:rFonts w:ascii="Arial" w:hAnsi="Arial" w:cs="Arial"/>
          <w:sz w:val="25"/>
          <w:szCs w:val="25"/>
        </w:rPr>
        <w:t xml:space="preserve"> y</w:t>
      </w:r>
      <w:r w:rsidR="0052584A">
        <w:rPr>
          <w:rFonts w:ascii="Arial" w:hAnsi="Arial" w:cs="Arial"/>
          <w:sz w:val="25"/>
          <w:szCs w:val="25"/>
        </w:rPr>
        <w:t xml:space="preserve"> Corporaciones </w:t>
      </w:r>
      <w:r w:rsidR="00884CAE">
        <w:rPr>
          <w:rFonts w:ascii="Arial" w:hAnsi="Arial" w:cs="Arial"/>
          <w:sz w:val="25"/>
          <w:szCs w:val="25"/>
        </w:rPr>
        <w:t>Financieras inscritas</w:t>
      </w:r>
      <w:r w:rsidR="00D0600A">
        <w:rPr>
          <w:rFonts w:ascii="Arial" w:hAnsi="Arial" w:cs="Arial"/>
          <w:sz w:val="25"/>
          <w:szCs w:val="25"/>
        </w:rPr>
        <w:t xml:space="preserve"> en el Fondo de Garantías de Instituciones Financieras</w:t>
      </w:r>
      <w:r w:rsidR="0052584A">
        <w:rPr>
          <w:rFonts w:ascii="Arial" w:hAnsi="Arial" w:cs="Arial"/>
          <w:sz w:val="25"/>
          <w:szCs w:val="25"/>
        </w:rPr>
        <w:t>.</w:t>
      </w:r>
    </w:p>
    <w:p w14:paraId="7BAB7E41" w14:textId="77777777" w:rsidR="008802DD" w:rsidRPr="008802DD" w:rsidRDefault="008802DD" w:rsidP="00641E69">
      <w:pPr>
        <w:jc w:val="both"/>
        <w:rPr>
          <w:rFonts w:ascii="Arial" w:hAnsi="Arial" w:cs="Arial"/>
          <w:sz w:val="25"/>
          <w:szCs w:val="25"/>
        </w:rPr>
      </w:pPr>
    </w:p>
    <w:p w14:paraId="7D177115" w14:textId="02097A6F" w:rsidR="008802DD" w:rsidRPr="008802DD" w:rsidRDefault="008802DD" w:rsidP="00641E69">
      <w:pPr>
        <w:ind w:left="1134" w:hanging="1134"/>
        <w:jc w:val="both"/>
        <w:rPr>
          <w:rFonts w:ascii="Arial" w:hAnsi="Arial" w:cs="Arial"/>
          <w:sz w:val="25"/>
          <w:szCs w:val="25"/>
        </w:rPr>
      </w:pPr>
      <w:r w:rsidRPr="008802DD">
        <w:rPr>
          <w:rFonts w:ascii="Arial" w:hAnsi="Arial" w:cs="Arial"/>
          <w:sz w:val="25"/>
          <w:szCs w:val="25"/>
        </w:rPr>
        <w:t xml:space="preserve">Asunto: </w:t>
      </w:r>
      <w:r w:rsidRPr="008802DD">
        <w:rPr>
          <w:rFonts w:ascii="Arial" w:hAnsi="Arial" w:cs="Arial"/>
          <w:sz w:val="25"/>
          <w:szCs w:val="25"/>
        </w:rPr>
        <w:tab/>
        <w:t>Guía metodológica para</w:t>
      </w:r>
      <w:r w:rsidR="00723034">
        <w:rPr>
          <w:rFonts w:ascii="Arial" w:hAnsi="Arial" w:cs="Arial"/>
          <w:sz w:val="25"/>
          <w:szCs w:val="25"/>
        </w:rPr>
        <w:t xml:space="preserve"> realizar el proceso de cálculo y </w:t>
      </w:r>
      <w:r w:rsidR="00E32214">
        <w:rPr>
          <w:rFonts w:ascii="Arial" w:hAnsi="Arial" w:cs="Arial"/>
          <w:sz w:val="25"/>
          <w:szCs w:val="25"/>
        </w:rPr>
        <w:t>liquidación</w:t>
      </w:r>
      <w:r w:rsidR="00FF2F2E">
        <w:rPr>
          <w:rFonts w:ascii="Arial" w:hAnsi="Arial" w:cs="Arial"/>
          <w:sz w:val="25"/>
          <w:szCs w:val="25"/>
        </w:rPr>
        <w:t xml:space="preserve"> </w:t>
      </w:r>
      <w:r w:rsidR="00FF2F2E" w:rsidRPr="008802DD">
        <w:rPr>
          <w:rFonts w:ascii="Arial" w:hAnsi="Arial" w:cs="Arial"/>
          <w:sz w:val="25"/>
          <w:szCs w:val="25"/>
        </w:rPr>
        <w:t>de</w:t>
      </w:r>
      <w:r w:rsidR="00723034">
        <w:rPr>
          <w:rFonts w:ascii="Arial" w:hAnsi="Arial" w:cs="Arial"/>
          <w:sz w:val="25"/>
          <w:szCs w:val="25"/>
        </w:rPr>
        <w:t xml:space="preserve"> la prima de </w:t>
      </w:r>
      <w:r w:rsidR="00FF2F2E">
        <w:rPr>
          <w:rFonts w:ascii="Arial" w:hAnsi="Arial" w:cs="Arial"/>
          <w:sz w:val="25"/>
          <w:szCs w:val="25"/>
        </w:rPr>
        <w:t>S</w:t>
      </w:r>
      <w:r w:rsidR="00723034">
        <w:rPr>
          <w:rFonts w:ascii="Arial" w:hAnsi="Arial" w:cs="Arial"/>
          <w:sz w:val="25"/>
          <w:szCs w:val="25"/>
        </w:rPr>
        <w:t xml:space="preserve">eguro de </w:t>
      </w:r>
      <w:r w:rsidR="00FF2F2E">
        <w:rPr>
          <w:rFonts w:ascii="Arial" w:hAnsi="Arial" w:cs="Arial"/>
          <w:sz w:val="25"/>
          <w:szCs w:val="25"/>
        </w:rPr>
        <w:t>D</w:t>
      </w:r>
      <w:r w:rsidR="00723034">
        <w:rPr>
          <w:rFonts w:ascii="Arial" w:hAnsi="Arial" w:cs="Arial"/>
          <w:sz w:val="25"/>
          <w:szCs w:val="25"/>
        </w:rPr>
        <w:t>epósito</w:t>
      </w:r>
      <w:r w:rsidR="00F90B2F">
        <w:rPr>
          <w:rFonts w:ascii="Arial" w:hAnsi="Arial" w:cs="Arial"/>
          <w:sz w:val="25"/>
          <w:szCs w:val="25"/>
        </w:rPr>
        <w:t xml:space="preserve">s. </w:t>
      </w:r>
    </w:p>
    <w:p w14:paraId="075A1B02" w14:textId="77777777" w:rsidR="008802DD" w:rsidRPr="008802DD" w:rsidRDefault="008802DD" w:rsidP="00641E69">
      <w:pPr>
        <w:jc w:val="both"/>
        <w:rPr>
          <w:rFonts w:ascii="Arial" w:hAnsi="Arial" w:cs="Arial"/>
          <w:sz w:val="25"/>
          <w:szCs w:val="25"/>
        </w:rPr>
      </w:pPr>
    </w:p>
    <w:p w14:paraId="26CAD041" w14:textId="77777777" w:rsidR="008802DD" w:rsidRPr="008802DD" w:rsidRDefault="008802DD" w:rsidP="00641E69">
      <w:pPr>
        <w:pStyle w:val="Prrafodelista"/>
        <w:numPr>
          <w:ilvl w:val="0"/>
          <w:numId w:val="2"/>
        </w:numPr>
        <w:spacing w:after="0" w:line="240" w:lineRule="auto"/>
        <w:jc w:val="both"/>
        <w:rPr>
          <w:rFonts w:ascii="Arial" w:hAnsi="Arial" w:cs="Arial"/>
          <w:b/>
          <w:sz w:val="25"/>
          <w:szCs w:val="25"/>
        </w:rPr>
      </w:pPr>
      <w:r w:rsidRPr="008802DD">
        <w:rPr>
          <w:rFonts w:ascii="Arial" w:hAnsi="Arial" w:cs="Arial"/>
          <w:b/>
          <w:sz w:val="25"/>
          <w:szCs w:val="25"/>
        </w:rPr>
        <w:t xml:space="preserve">OBJETIVO </w:t>
      </w:r>
    </w:p>
    <w:p w14:paraId="4DA40DC0" w14:textId="77777777" w:rsidR="00E26D1F" w:rsidRDefault="00E26D1F" w:rsidP="00641E69">
      <w:pPr>
        <w:ind w:left="426"/>
        <w:jc w:val="both"/>
        <w:rPr>
          <w:rFonts w:ascii="Arial" w:hAnsi="Arial" w:cs="Arial"/>
          <w:sz w:val="25"/>
          <w:szCs w:val="25"/>
        </w:rPr>
      </w:pPr>
    </w:p>
    <w:p w14:paraId="29B06B2C" w14:textId="2C521E22" w:rsidR="008802DD" w:rsidRPr="008802DD" w:rsidRDefault="002868BF" w:rsidP="00641E69">
      <w:pPr>
        <w:jc w:val="both"/>
        <w:rPr>
          <w:rFonts w:ascii="Arial" w:hAnsi="Arial" w:cs="Arial"/>
          <w:sz w:val="25"/>
          <w:szCs w:val="25"/>
        </w:rPr>
      </w:pPr>
      <w:r>
        <w:rPr>
          <w:rFonts w:ascii="Arial" w:hAnsi="Arial" w:cs="Arial"/>
          <w:sz w:val="25"/>
          <w:szCs w:val="25"/>
        </w:rPr>
        <w:t xml:space="preserve">Esta circular </w:t>
      </w:r>
      <w:r w:rsidR="00FF2152" w:rsidRPr="00C2237C">
        <w:rPr>
          <w:rFonts w:ascii="Arial" w:hAnsi="Arial" w:cs="Arial"/>
          <w:sz w:val="25"/>
          <w:szCs w:val="25"/>
        </w:rPr>
        <w:t xml:space="preserve">establece los lineamientos relacionados con </w:t>
      </w:r>
      <w:r w:rsidR="00FF2152">
        <w:rPr>
          <w:rFonts w:ascii="Arial" w:hAnsi="Arial" w:cs="Arial"/>
          <w:sz w:val="25"/>
          <w:szCs w:val="25"/>
        </w:rPr>
        <w:t xml:space="preserve">el procedimiento para realizar el cálculo y </w:t>
      </w:r>
      <w:r w:rsidR="00E32214">
        <w:rPr>
          <w:rFonts w:ascii="Arial" w:hAnsi="Arial" w:cs="Arial"/>
          <w:sz w:val="25"/>
          <w:szCs w:val="25"/>
        </w:rPr>
        <w:t>liquidación</w:t>
      </w:r>
      <w:r w:rsidR="00FF2152">
        <w:rPr>
          <w:rFonts w:ascii="Arial" w:hAnsi="Arial" w:cs="Arial"/>
          <w:sz w:val="25"/>
          <w:szCs w:val="25"/>
        </w:rPr>
        <w:t xml:space="preserve"> de la prima de Seguro de Depósitos de las entidades inscritas</w:t>
      </w:r>
      <w:r w:rsidR="007B69AD">
        <w:rPr>
          <w:rFonts w:ascii="Arial" w:hAnsi="Arial" w:cs="Arial"/>
          <w:sz w:val="25"/>
          <w:szCs w:val="25"/>
        </w:rPr>
        <w:t>.</w:t>
      </w:r>
      <w:r w:rsidR="00B21D20">
        <w:rPr>
          <w:rFonts w:ascii="Arial" w:hAnsi="Arial" w:cs="Arial"/>
          <w:sz w:val="25"/>
          <w:szCs w:val="25"/>
        </w:rPr>
        <w:t xml:space="preserve"> </w:t>
      </w:r>
      <w:r w:rsidR="00CB348D">
        <w:rPr>
          <w:rFonts w:ascii="Arial" w:hAnsi="Arial" w:cs="Arial"/>
          <w:sz w:val="25"/>
          <w:szCs w:val="25"/>
        </w:rPr>
        <w:t>Además,</w:t>
      </w:r>
      <w:r w:rsidR="00FF2152">
        <w:rPr>
          <w:rFonts w:ascii="Arial" w:hAnsi="Arial" w:cs="Arial"/>
          <w:sz w:val="25"/>
          <w:szCs w:val="25"/>
        </w:rPr>
        <w:t xml:space="preserve"> e</w:t>
      </w:r>
      <w:r w:rsidR="008802DD" w:rsidRPr="008802DD">
        <w:rPr>
          <w:rFonts w:ascii="Arial" w:hAnsi="Arial" w:cs="Arial"/>
          <w:sz w:val="25"/>
          <w:szCs w:val="25"/>
        </w:rPr>
        <w:t>specifica las diferentes cuentas del C</w:t>
      </w:r>
      <w:r w:rsidR="008802DD" w:rsidRPr="008802DD">
        <w:rPr>
          <w:rStyle w:val="nfasis"/>
          <w:rFonts w:ascii="Arial" w:hAnsi="Arial" w:cs="Arial"/>
          <w:bCs/>
          <w:i w:val="0"/>
          <w:iCs w:val="0"/>
          <w:sz w:val="25"/>
          <w:szCs w:val="25"/>
          <w:shd w:val="clear" w:color="auto" w:fill="FFFFFF"/>
        </w:rPr>
        <w:t>atálogo Único de</w:t>
      </w:r>
      <w:r w:rsidR="00094064">
        <w:rPr>
          <w:rStyle w:val="apple-converted-space"/>
          <w:rFonts w:ascii="Arial" w:hAnsi="Arial" w:cs="Arial"/>
          <w:sz w:val="25"/>
          <w:szCs w:val="25"/>
          <w:shd w:val="clear" w:color="auto" w:fill="FFFFFF"/>
        </w:rPr>
        <w:t xml:space="preserve"> </w:t>
      </w:r>
      <w:r w:rsidR="008802DD" w:rsidRPr="008802DD">
        <w:rPr>
          <w:rFonts w:ascii="Arial" w:hAnsi="Arial" w:cs="Arial"/>
          <w:sz w:val="25"/>
          <w:szCs w:val="25"/>
          <w:shd w:val="clear" w:color="auto" w:fill="FFFFFF"/>
        </w:rPr>
        <w:t>Información Financiera (CUIF) con fines de</w:t>
      </w:r>
      <w:r w:rsidR="00575A56">
        <w:rPr>
          <w:rStyle w:val="apple-converted-space"/>
          <w:rFonts w:ascii="Arial" w:hAnsi="Arial" w:cs="Arial"/>
          <w:sz w:val="25"/>
          <w:szCs w:val="25"/>
          <w:shd w:val="clear" w:color="auto" w:fill="FFFFFF"/>
        </w:rPr>
        <w:t xml:space="preserve"> </w:t>
      </w:r>
      <w:r w:rsidR="008802DD" w:rsidRPr="008802DD">
        <w:rPr>
          <w:rStyle w:val="nfasis"/>
          <w:rFonts w:ascii="Arial" w:hAnsi="Arial" w:cs="Arial"/>
          <w:bCs/>
          <w:i w:val="0"/>
          <w:iCs w:val="0"/>
          <w:sz w:val="25"/>
          <w:szCs w:val="25"/>
          <w:shd w:val="clear" w:color="auto" w:fill="FFFFFF"/>
        </w:rPr>
        <w:t>supervisión</w:t>
      </w:r>
      <w:r w:rsidR="00470326">
        <w:rPr>
          <w:rStyle w:val="nfasis"/>
          <w:rFonts w:ascii="Arial" w:hAnsi="Arial" w:cs="Arial"/>
          <w:bCs/>
          <w:i w:val="0"/>
          <w:iCs w:val="0"/>
          <w:sz w:val="25"/>
          <w:szCs w:val="25"/>
          <w:shd w:val="clear" w:color="auto" w:fill="FFFFFF"/>
        </w:rPr>
        <w:t>,</w:t>
      </w:r>
      <w:r w:rsidR="008802DD" w:rsidRPr="008802DD">
        <w:rPr>
          <w:rFonts w:ascii="Arial" w:hAnsi="Arial" w:cs="Arial"/>
          <w:sz w:val="25"/>
          <w:szCs w:val="25"/>
        </w:rPr>
        <w:t xml:space="preserve"> de los formatos</w:t>
      </w:r>
      <w:r w:rsidR="00470326">
        <w:rPr>
          <w:rFonts w:ascii="Arial" w:hAnsi="Arial" w:cs="Arial"/>
          <w:sz w:val="25"/>
          <w:szCs w:val="25"/>
        </w:rPr>
        <w:t xml:space="preserve"> y demás información</w:t>
      </w:r>
      <w:r w:rsidR="008802DD" w:rsidRPr="008802DD">
        <w:rPr>
          <w:rFonts w:ascii="Arial" w:hAnsi="Arial" w:cs="Arial"/>
          <w:sz w:val="25"/>
          <w:szCs w:val="25"/>
        </w:rPr>
        <w:t xml:space="preserve"> </w:t>
      </w:r>
      <w:r w:rsidR="00470326">
        <w:rPr>
          <w:rFonts w:ascii="Arial" w:hAnsi="Arial" w:cs="Arial"/>
          <w:sz w:val="25"/>
          <w:szCs w:val="25"/>
        </w:rPr>
        <w:t>empleada</w:t>
      </w:r>
      <w:r w:rsidR="008802DD" w:rsidRPr="008802DD">
        <w:rPr>
          <w:rFonts w:ascii="Arial" w:hAnsi="Arial" w:cs="Arial"/>
          <w:sz w:val="25"/>
          <w:szCs w:val="25"/>
        </w:rPr>
        <w:t xml:space="preserve"> </w:t>
      </w:r>
      <w:r w:rsidR="00470326">
        <w:rPr>
          <w:rFonts w:ascii="Arial" w:hAnsi="Arial" w:cs="Arial"/>
          <w:sz w:val="25"/>
          <w:szCs w:val="25"/>
        </w:rPr>
        <w:t>en</w:t>
      </w:r>
      <w:r w:rsidR="00470326" w:rsidRPr="008802DD">
        <w:rPr>
          <w:rFonts w:ascii="Arial" w:hAnsi="Arial" w:cs="Arial"/>
          <w:sz w:val="25"/>
          <w:szCs w:val="25"/>
        </w:rPr>
        <w:t xml:space="preserve"> </w:t>
      </w:r>
      <w:r w:rsidR="008802DD" w:rsidRPr="008802DD">
        <w:rPr>
          <w:rFonts w:ascii="Arial" w:hAnsi="Arial" w:cs="Arial"/>
          <w:sz w:val="25"/>
          <w:szCs w:val="25"/>
        </w:rPr>
        <w:t>el cálculo de los indicadores financieros de capital, activos, gestión, exposición del Seguro de Depósitos, rentabilidad</w:t>
      </w:r>
      <w:r w:rsidR="004E4C37">
        <w:rPr>
          <w:rFonts w:ascii="Arial" w:hAnsi="Arial" w:cs="Arial"/>
          <w:sz w:val="25"/>
          <w:szCs w:val="25"/>
        </w:rPr>
        <w:t>,</w:t>
      </w:r>
      <w:r w:rsidR="008802DD" w:rsidRPr="008802DD">
        <w:rPr>
          <w:rFonts w:ascii="Arial" w:hAnsi="Arial" w:cs="Arial"/>
          <w:sz w:val="25"/>
          <w:szCs w:val="25"/>
        </w:rPr>
        <w:t xml:space="preserve"> liquidez</w:t>
      </w:r>
      <w:r w:rsidR="004E4C37">
        <w:rPr>
          <w:rFonts w:ascii="Arial" w:hAnsi="Arial" w:cs="Arial"/>
          <w:sz w:val="25"/>
          <w:szCs w:val="25"/>
        </w:rPr>
        <w:t xml:space="preserve"> y concentración</w:t>
      </w:r>
      <w:r w:rsidR="008802DD" w:rsidRPr="008802DD">
        <w:rPr>
          <w:rFonts w:ascii="Arial" w:hAnsi="Arial" w:cs="Arial"/>
          <w:sz w:val="25"/>
          <w:szCs w:val="25"/>
        </w:rPr>
        <w:t xml:space="preserve"> que conforman la calificación de las entidades inscritas de la referencia, y para el cálculo de la prima del Seguro de Depósitos. </w:t>
      </w:r>
    </w:p>
    <w:p w14:paraId="700C4A74" w14:textId="77777777" w:rsidR="008802DD" w:rsidRPr="008802DD" w:rsidRDefault="008802DD" w:rsidP="00641E69">
      <w:pPr>
        <w:jc w:val="both"/>
        <w:rPr>
          <w:rFonts w:ascii="Arial" w:hAnsi="Arial" w:cs="Arial"/>
          <w:sz w:val="25"/>
          <w:szCs w:val="25"/>
        </w:rPr>
      </w:pPr>
    </w:p>
    <w:p w14:paraId="22912B52" w14:textId="04663A86" w:rsidR="008802DD" w:rsidRDefault="008802DD" w:rsidP="00641E69">
      <w:pPr>
        <w:numPr>
          <w:ilvl w:val="0"/>
          <w:numId w:val="2"/>
        </w:numPr>
        <w:rPr>
          <w:rFonts w:ascii="Arial" w:hAnsi="Arial" w:cs="Arial"/>
          <w:b/>
          <w:sz w:val="25"/>
          <w:szCs w:val="25"/>
          <w:lang w:val="es-CO" w:eastAsia="en-US"/>
        </w:rPr>
      </w:pPr>
      <w:r w:rsidRPr="008802DD">
        <w:rPr>
          <w:rFonts w:ascii="Arial" w:hAnsi="Arial" w:cs="Arial"/>
          <w:b/>
          <w:sz w:val="25"/>
          <w:szCs w:val="25"/>
          <w:lang w:val="es-CO" w:eastAsia="en-US"/>
        </w:rPr>
        <w:t>PRIMA A CARGO DE LAS ENTIDADES</w:t>
      </w:r>
    </w:p>
    <w:p w14:paraId="3637A0E9" w14:textId="77777777" w:rsidR="00524715" w:rsidRPr="008802DD" w:rsidRDefault="00524715" w:rsidP="00641E69">
      <w:pPr>
        <w:ind w:left="360"/>
        <w:rPr>
          <w:rFonts w:ascii="Arial" w:hAnsi="Arial" w:cs="Arial"/>
          <w:b/>
          <w:sz w:val="25"/>
          <w:szCs w:val="25"/>
          <w:lang w:val="es-CO" w:eastAsia="en-US"/>
        </w:rPr>
      </w:pPr>
    </w:p>
    <w:p w14:paraId="045E667F" w14:textId="77777777" w:rsidR="00640F29" w:rsidRDefault="008802DD" w:rsidP="00641E69">
      <w:pPr>
        <w:numPr>
          <w:ilvl w:val="1"/>
          <w:numId w:val="2"/>
        </w:numPr>
        <w:jc w:val="both"/>
        <w:rPr>
          <w:rFonts w:ascii="Arial" w:hAnsi="Arial" w:cs="Arial"/>
          <w:b/>
          <w:sz w:val="25"/>
          <w:szCs w:val="25"/>
          <w:lang w:val="es-CO" w:eastAsia="en-US"/>
        </w:rPr>
      </w:pPr>
      <w:r w:rsidRPr="008802DD">
        <w:rPr>
          <w:rFonts w:ascii="Arial" w:hAnsi="Arial" w:cs="Arial"/>
          <w:b/>
          <w:sz w:val="25"/>
          <w:szCs w:val="25"/>
          <w:lang w:val="es-CO" w:eastAsia="en-US"/>
        </w:rPr>
        <w:t>Cálculo de la prima con información completa para los tres meses incluidos en el trimestre de liquidación</w:t>
      </w:r>
    </w:p>
    <w:p w14:paraId="31D4C61B" w14:textId="77777777" w:rsidR="00640F29" w:rsidRDefault="00640F29" w:rsidP="00641E69">
      <w:pPr>
        <w:jc w:val="both"/>
        <w:rPr>
          <w:rFonts w:ascii="Arial" w:hAnsi="Arial" w:cs="Arial"/>
          <w:b/>
          <w:sz w:val="25"/>
          <w:szCs w:val="25"/>
          <w:lang w:val="es-CO" w:eastAsia="en-US"/>
        </w:rPr>
      </w:pPr>
    </w:p>
    <w:p w14:paraId="1FDFD581" w14:textId="01D3B509" w:rsidR="006037E5" w:rsidRPr="00640F29" w:rsidRDefault="008802DD" w:rsidP="00641E69">
      <w:pPr>
        <w:ind w:left="708"/>
        <w:jc w:val="both"/>
        <w:rPr>
          <w:rFonts w:ascii="Arial" w:hAnsi="Arial" w:cs="Arial"/>
          <w:b/>
          <w:sz w:val="25"/>
          <w:szCs w:val="25"/>
          <w:lang w:val="es-CO" w:eastAsia="en-US"/>
        </w:rPr>
      </w:pPr>
      <w:r w:rsidRPr="00640F29">
        <w:rPr>
          <w:rFonts w:ascii="Arial" w:hAnsi="Arial" w:cs="Arial"/>
          <w:sz w:val="25"/>
          <w:szCs w:val="25"/>
        </w:rPr>
        <w:t>La prima se calculará con base en el promedio simple del saldo mensual de las acreencias amparadas por el Seguro de Depósitos durante el trimestre a liquidar. Las acreencias amparadas se encuentran registradas en las siguientes cuentas del Catálogo Único de Información Financiera con fines de supervisión:</w:t>
      </w:r>
    </w:p>
    <w:p w14:paraId="4B273B36" w14:textId="77777777" w:rsidR="007C10D8" w:rsidRPr="008802DD" w:rsidRDefault="007C10D8" w:rsidP="00641E69">
      <w:pPr>
        <w:ind w:left="709"/>
        <w:jc w:val="both"/>
        <w:rPr>
          <w:rFonts w:ascii="Arial" w:hAnsi="Arial" w:cs="Arial"/>
          <w:sz w:val="25"/>
          <w:szCs w:val="25"/>
        </w:rPr>
      </w:pPr>
    </w:p>
    <w:p w14:paraId="690E6717" w14:textId="77777777" w:rsidR="008802DD" w:rsidRPr="008802DD" w:rsidRDefault="008802DD" w:rsidP="00641E69">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Servicios bancarios de recaudo</w:t>
      </w:r>
      <w:r w:rsidRPr="008802DD">
        <w:rPr>
          <w:rFonts w:ascii="Arial" w:hAnsi="Arial" w:cs="Arial"/>
          <w:sz w:val="25"/>
          <w:szCs w:val="25"/>
        </w:rPr>
        <w:t xml:space="preserve">. </w:t>
      </w:r>
      <w:r w:rsidRPr="008802DD">
        <w:rPr>
          <w:rFonts w:ascii="Arial" w:hAnsi="Arial" w:cs="Arial"/>
          <w:sz w:val="25"/>
          <w:szCs w:val="25"/>
        </w:rPr>
        <w:tab/>
        <w:t>211800</w:t>
      </w:r>
    </w:p>
    <w:p w14:paraId="6895C428" w14:textId="77777777" w:rsidR="008802DD" w:rsidRPr="008802DD" w:rsidRDefault="008802DD" w:rsidP="00641E69">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Depósitos especiales</w:t>
      </w:r>
      <w:r w:rsidRPr="008802DD">
        <w:rPr>
          <w:rFonts w:ascii="Arial" w:hAnsi="Arial" w:cs="Arial"/>
          <w:sz w:val="25"/>
          <w:szCs w:val="25"/>
        </w:rPr>
        <w:t>.</w:t>
      </w:r>
      <w:r w:rsidRPr="008802DD">
        <w:rPr>
          <w:rFonts w:ascii="Arial" w:hAnsi="Arial" w:cs="Arial"/>
          <w:sz w:val="25"/>
          <w:szCs w:val="25"/>
        </w:rPr>
        <w:tab/>
      </w:r>
      <w:r w:rsidRPr="008802DD">
        <w:rPr>
          <w:rFonts w:ascii="Arial" w:hAnsi="Arial" w:cs="Arial"/>
          <w:sz w:val="25"/>
          <w:szCs w:val="25"/>
        </w:rPr>
        <w:tab/>
      </w:r>
      <w:r w:rsidRPr="008802DD">
        <w:rPr>
          <w:rFonts w:ascii="Arial" w:hAnsi="Arial" w:cs="Arial"/>
          <w:sz w:val="25"/>
          <w:szCs w:val="25"/>
        </w:rPr>
        <w:tab/>
        <w:t>211600</w:t>
      </w:r>
    </w:p>
    <w:p w14:paraId="54931476" w14:textId="77777777" w:rsidR="008802DD" w:rsidRPr="008802DD" w:rsidRDefault="008802DD" w:rsidP="00641E69">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Cuentas de ahorro especial</w:t>
      </w:r>
      <w:r w:rsidRPr="008802DD">
        <w:rPr>
          <w:rFonts w:ascii="Arial" w:hAnsi="Arial" w:cs="Arial"/>
          <w:sz w:val="25"/>
          <w:szCs w:val="25"/>
        </w:rPr>
        <w:t>.</w:t>
      </w:r>
      <w:r w:rsidRPr="008802DD">
        <w:rPr>
          <w:rFonts w:ascii="Arial" w:hAnsi="Arial" w:cs="Arial"/>
          <w:sz w:val="25"/>
          <w:szCs w:val="25"/>
        </w:rPr>
        <w:tab/>
      </w:r>
      <w:r w:rsidRPr="008802DD">
        <w:rPr>
          <w:rFonts w:ascii="Arial" w:hAnsi="Arial" w:cs="Arial"/>
          <w:sz w:val="25"/>
          <w:szCs w:val="25"/>
        </w:rPr>
        <w:tab/>
        <w:t>210900</w:t>
      </w:r>
    </w:p>
    <w:p w14:paraId="2984DC38" w14:textId="77777777" w:rsidR="008802DD" w:rsidRPr="008802DD" w:rsidRDefault="008802DD" w:rsidP="00641E69">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Depósitos de ahorro</w:t>
      </w:r>
      <w:r w:rsidRPr="008802DD">
        <w:rPr>
          <w:rFonts w:ascii="Arial" w:hAnsi="Arial" w:cs="Arial"/>
          <w:sz w:val="25"/>
          <w:szCs w:val="25"/>
        </w:rPr>
        <w:t>.</w:t>
      </w:r>
      <w:r w:rsidRPr="008802DD">
        <w:rPr>
          <w:rFonts w:ascii="Arial" w:hAnsi="Arial" w:cs="Arial"/>
          <w:sz w:val="25"/>
          <w:szCs w:val="25"/>
        </w:rPr>
        <w:tab/>
      </w:r>
      <w:r w:rsidRPr="008802DD">
        <w:rPr>
          <w:rFonts w:ascii="Arial" w:hAnsi="Arial" w:cs="Arial"/>
          <w:sz w:val="25"/>
          <w:szCs w:val="25"/>
        </w:rPr>
        <w:tab/>
      </w:r>
      <w:r w:rsidRPr="008802DD">
        <w:rPr>
          <w:rFonts w:ascii="Arial" w:hAnsi="Arial" w:cs="Arial"/>
          <w:sz w:val="25"/>
          <w:szCs w:val="25"/>
        </w:rPr>
        <w:tab/>
        <w:t>210800</w:t>
      </w:r>
    </w:p>
    <w:p w14:paraId="690112A7" w14:textId="77777777" w:rsidR="008802DD" w:rsidRPr="008802DD" w:rsidRDefault="008802DD" w:rsidP="00641E69">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Certificados de depósito a término</w:t>
      </w:r>
      <w:r w:rsidRPr="008802DD">
        <w:rPr>
          <w:rFonts w:ascii="Arial" w:hAnsi="Arial" w:cs="Arial"/>
          <w:sz w:val="25"/>
          <w:szCs w:val="25"/>
        </w:rPr>
        <w:t>.</w:t>
      </w:r>
      <w:r w:rsidRPr="008802DD">
        <w:rPr>
          <w:rFonts w:ascii="Arial" w:hAnsi="Arial" w:cs="Arial"/>
          <w:sz w:val="25"/>
          <w:szCs w:val="25"/>
        </w:rPr>
        <w:tab/>
        <w:t>210700</w:t>
      </w:r>
    </w:p>
    <w:p w14:paraId="6935875A" w14:textId="77777777" w:rsidR="008802DD" w:rsidRPr="008802DD" w:rsidRDefault="008802DD" w:rsidP="00641E69">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Depósitos en cuenta corriente</w:t>
      </w:r>
      <w:r w:rsidRPr="008802DD">
        <w:rPr>
          <w:rFonts w:ascii="Arial" w:hAnsi="Arial" w:cs="Arial"/>
          <w:sz w:val="25"/>
          <w:szCs w:val="25"/>
        </w:rPr>
        <w:t>.</w:t>
      </w:r>
      <w:r w:rsidRPr="008802DD">
        <w:rPr>
          <w:rFonts w:ascii="Arial" w:hAnsi="Arial" w:cs="Arial"/>
          <w:sz w:val="25"/>
          <w:szCs w:val="25"/>
        </w:rPr>
        <w:tab/>
        <w:t>210500</w:t>
      </w:r>
    </w:p>
    <w:p w14:paraId="45967D1C" w14:textId="77777777" w:rsidR="008802DD" w:rsidRPr="008802DD" w:rsidRDefault="008802DD" w:rsidP="00641E69">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Bonos hipotecarios</w:t>
      </w:r>
      <w:r w:rsidRPr="008802DD">
        <w:rPr>
          <w:rFonts w:ascii="Arial" w:hAnsi="Arial" w:cs="Arial"/>
          <w:sz w:val="25"/>
          <w:szCs w:val="25"/>
        </w:rPr>
        <w:t>.</w:t>
      </w:r>
      <w:r w:rsidRPr="008802DD">
        <w:rPr>
          <w:rFonts w:ascii="Arial" w:hAnsi="Arial" w:cs="Arial"/>
          <w:sz w:val="25"/>
          <w:szCs w:val="25"/>
        </w:rPr>
        <w:tab/>
      </w:r>
      <w:r w:rsidRPr="008802DD">
        <w:rPr>
          <w:rFonts w:ascii="Arial" w:hAnsi="Arial" w:cs="Arial"/>
          <w:sz w:val="25"/>
          <w:szCs w:val="25"/>
        </w:rPr>
        <w:tab/>
      </w:r>
      <w:r w:rsidRPr="008802DD">
        <w:rPr>
          <w:rFonts w:ascii="Arial" w:hAnsi="Arial" w:cs="Arial"/>
          <w:sz w:val="25"/>
          <w:szCs w:val="25"/>
        </w:rPr>
        <w:tab/>
        <w:t>213011 + 224511</w:t>
      </w:r>
    </w:p>
    <w:p w14:paraId="394A66DA" w14:textId="77777777" w:rsidR="008802DD" w:rsidRPr="008802DD" w:rsidRDefault="008802DD" w:rsidP="00641E69">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Depósitos simples</w:t>
      </w:r>
      <w:r w:rsidRPr="008802DD">
        <w:rPr>
          <w:rFonts w:ascii="Arial" w:hAnsi="Arial" w:cs="Arial"/>
          <w:sz w:val="25"/>
          <w:szCs w:val="25"/>
        </w:rPr>
        <w:t>.</w:t>
      </w:r>
      <w:r w:rsidRPr="008802DD">
        <w:rPr>
          <w:rFonts w:ascii="Arial" w:hAnsi="Arial" w:cs="Arial"/>
          <w:sz w:val="25"/>
          <w:szCs w:val="25"/>
        </w:rPr>
        <w:tab/>
      </w:r>
      <w:r w:rsidRPr="008802DD">
        <w:rPr>
          <w:rFonts w:ascii="Arial" w:hAnsi="Arial" w:cs="Arial"/>
          <w:sz w:val="25"/>
          <w:szCs w:val="25"/>
        </w:rPr>
        <w:tab/>
      </w:r>
      <w:r w:rsidRPr="008802DD">
        <w:rPr>
          <w:rFonts w:ascii="Arial" w:hAnsi="Arial" w:cs="Arial"/>
          <w:sz w:val="25"/>
          <w:szCs w:val="25"/>
        </w:rPr>
        <w:tab/>
        <w:t>210600</w:t>
      </w:r>
    </w:p>
    <w:p w14:paraId="76587E34" w14:textId="34EBD774" w:rsidR="008802DD" w:rsidRPr="008802DD" w:rsidRDefault="008802DD" w:rsidP="00641E69">
      <w:pPr>
        <w:pStyle w:val="Prrafodelista"/>
        <w:numPr>
          <w:ilvl w:val="0"/>
          <w:numId w:val="4"/>
        </w:numPr>
        <w:spacing w:after="0" w:line="240" w:lineRule="auto"/>
        <w:ind w:left="1353"/>
        <w:rPr>
          <w:rFonts w:ascii="Arial" w:hAnsi="Arial" w:cs="Arial"/>
          <w:sz w:val="25"/>
          <w:szCs w:val="25"/>
        </w:rPr>
      </w:pPr>
      <w:r w:rsidRPr="008802DD">
        <w:rPr>
          <w:rFonts w:ascii="Arial" w:hAnsi="Arial" w:cs="Arial"/>
          <w:b/>
          <w:sz w:val="25"/>
          <w:szCs w:val="25"/>
        </w:rPr>
        <w:t>Depósitos</w:t>
      </w:r>
      <w:r w:rsidR="00D951F4">
        <w:rPr>
          <w:rFonts w:ascii="Arial" w:hAnsi="Arial" w:cs="Arial"/>
          <w:sz w:val="25"/>
          <w:szCs w:val="25"/>
        </w:rPr>
        <w:t xml:space="preserve"> </w:t>
      </w:r>
      <w:bookmarkStart w:id="0" w:name="_Hlk50049402"/>
      <w:r w:rsidR="00D951F4" w:rsidRPr="00426432">
        <w:rPr>
          <w:rFonts w:ascii="Arial" w:hAnsi="Arial" w:cs="Arial"/>
          <w:b/>
          <w:bCs/>
          <w:sz w:val="25"/>
          <w:szCs w:val="25"/>
        </w:rPr>
        <w:t>de bajo monto y depósitos ordinarios</w:t>
      </w:r>
      <w:r w:rsidR="001404DA" w:rsidRPr="00426432">
        <w:rPr>
          <w:rFonts w:ascii="Arial" w:hAnsi="Arial" w:cs="Arial"/>
          <w:b/>
          <w:bCs/>
          <w:sz w:val="25"/>
          <w:szCs w:val="25"/>
        </w:rPr>
        <w:t xml:space="preserve"> </w:t>
      </w:r>
      <w:bookmarkEnd w:id="0"/>
      <w:r w:rsidR="001404DA" w:rsidRPr="00426432">
        <w:rPr>
          <w:rFonts w:ascii="Arial" w:hAnsi="Arial" w:cs="Arial"/>
          <w:b/>
          <w:bCs/>
          <w:sz w:val="25"/>
          <w:szCs w:val="25"/>
        </w:rPr>
        <w:t>(Depósitos electrónicos)</w:t>
      </w:r>
      <w:r w:rsidRPr="008802DD">
        <w:rPr>
          <w:rFonts w:ascii="Arial" w:hAnsi="Arial" w:cs="Arial"/>
          <w:sz w:val="25"/>
          <w:szCs w:val="25"/>
        </w:rPr>
        <w:tab/>
      </w:r>
      <w:r w:rsidR="00B501CB">
        <w:rPr>
          <w:rFonts w:ascii="Arial" w:hAnsi="Arial" w:cs="Arial"/>
          <w:sz w:val="25"/>
          <w:szCs w:val="25"/>
        </w:rPr>
        <w:tab/>
      </w:r>
      <w:r w:rsidR="00B501CB">
        <w:rPr>
          <w:rFonts w:ascii="Arial" w:hAnsi="Arial" w:cs="Arial"/>
          <w:sz w:val="25"/>
          <w:szCs w:val="25"/>
        </w:rPr>
        <w:tab/>
      </w:r>
      <w:r w:rsidR="00B501CB">
        <w:rPr>
          <w:rFonts w:ascii="Arial" w:hAnsi="Arial" w:cs="Arial"/>
          <w:sz w:val="25"/>
          <w:szCs w:val="25"/>
        </w:rPr>
        <w:tab/>
      </w:r>
      <w:r w:rsidRPr="008802DD">
        <w:rPr>
          <w:rFonts w:ascii="Arial" w:hAnsi="Arial" w:cs="Arial"/>
          <w:sz w:val="25"/>
          <w:szCs w:val="25"/>
        </w:rPr>
        <w:t>212000</w:t>
      </w:r>
    </w:p>
    <w:p w14:paraId="3BEE75E5" w14:textId="77777777" w:rsidR="008802DD" w:rsidRPr="008802DD" w:rsidRDefault="008802DD" w:rsidP="00641E69">
      <w:pPr>
        <w:pStyle w:val="Prrafodelista"/>
        <w:spacing w:after="0" w:line="240" w:lineRule="auto"/>
        <w:rPr>
          <w:rFonts w:ascii="Arial" w:hAnsi="Arial" w:cs="Arial"/>
          <w:sz w:val="25"/>
          <w:szCs w:val="25"/>
        </w:rPr>
      </w:pPr>
    </w:p>
    <w:p w14:paraId="462DA656" w14:textId="0D6FE521" w:rsidR="008802DD" w:rsidRDefault="008802DD" w:rsidP="00641E69">
      <w:pPr>
        <w:ind w:left="709"/>
        <w:jc w:val="both"/>
        <w:rPr>
          <w:rFonts w:ascii="Arial" w:hAnsi="Arial" w:cs="Arial"/>
          <w:sz w:val="25"/>
          <w:szCs w:val="25"/>
        </w:rPr>
      </w:pPr>
      <w:r w:rsidRPr="008802DD">
        <w:rPr>
          <w:rFonts w:ascii="Arial" w:hAnsi="Arial" w:cs="Arial"/>
          <w:sz w:val="25"/>
          <w:szCs w:val="25"/>
        </w:rPr>
        <w:t>Las entidades deberán sumar los saldos de las cuentas enumeradas arriba para los tres meses incluidos en el trimestre de liquidación y deberán dividir el resultado de dicho cálculo por tres (3). Posteriormente deberán multiplicar el resultado por el porcentaje establecido en la Resolución vigente del Seguro de Depósitos.</w:t>
      </w:r>
    </w:p>
    <w:p w14:paraId="60530A68" w14:textId="45377B5F" w:rsidR="006037E5" w:rsidRPr="008802DD" w:rsidRDefault="006037E5" w:rsidP="00641E69">
      <w:pPr>
        <w:ind w:left="709"/>
        <w:jc w:val="both"/>
        <w:rPr>
          <w:rFonts w:ascii="Arial" w:hAnsi="Arial" w:cs="Arial"/>
          <w:sz w:val="25"/>
          <w:szCs w:val="25"/>
        </w:rPr>
      </w:pPr>
    </w:p>
    <w:p w14:paraId="6CC31776" w14:textId="77777777" w:rsidR="008802DD" w:rsidRPr="006037E5" w:rsidRDefault="008802DD" w:rsidP="00641E69">
      <w:pPr>
        <w:pStyle w:val="Prrafodelista"/>
        <w:numPr>
          <w:ilvl w:val="1"/>
          <w:numId w:val="2"/>
        </w:numPr>
        <w:spacing w:after="0" w:line="240" w:lineRule="auto"/>
        <w:rPr>
          <w:rFonts w:ascii="Arial" w:hAnsi="Arial" w:cs="Arial"/>
          <w:b/>
          <w:sz w:val="25"/>
          <w:szCs w:val="25"/>
        </w:rPr>
      </w:pPr>
      <w:r w:rsidRPr="006037E5">
        <w:rPr>
          <w:rFonts w:ascii="Arial" w:hAnsi="Arial" w:cs="Arial"/>
          <w:b/>
          <w:sz w:val="25"/>
          <w:szCs w:val="25"/>
        </w:rPr>
        <w:t>Entidades nuevas</w:t>
      </w:r>
    </w:p>
    <w:p w14:paraId="6E3A4841" w14:textId="77777777" w:rsidR="0072432B" w:rsidRDefault="0072432B" w:rsidP="00641E69">
      <w:pPr>
        <w:ind w:left="708"/>
        <w:jc w:val="both"/>
        <w:rPr>
          <w:rFonts w:ascii="Arial" w:hAnsi="Arial" w:cs="Arial"/>
          <w:sz w:val="25"/>
          <w:szCs w:val="25"/>
        </w:rPr>
      </w:pPr>
    </w:p>
    <w:p w14:paraId="13680859" w14:textId="7DACEE2E" w:rsidR="008802DD" w:rsidRPr="008802DD" w:rsidRDefault="000A2E3B" w:rsidP="00641E69">
      <w:pPr>
        <w:ind w:left="708"/>
        <w:jc w:val="both"/>
        <w:rPr>
          <w:rFonts w:ascii="Arial" w:hAnsi="Arial" w:cs="Arial"/>
          <w:sz w:val="25"/>
          <w:szCs w:val="25"/>
        </w:rPr>
      </w:pPr>
      <w:r w:rsidRPr="008802DD">
        <w:rPr>
          <w:rFonts w:ascii="Arial" w:hAnsi="Arial" w:cs="Arial"/>
          <w:sz w:val="25"/>
          <w:szCs w:val="25"/>
        </w:rPr>
        <w:t>En caso de que</w:t>
      </w:r>
      <w:r w:rsidR="008802DD" w:rsidRPr="008802DD">
        <w:rPr>
          <w:rFonts w:ascii="Arial" w:hAnsi="Arial" w:cs="Arial"/>
          <w:sz w:val="25"/>
          <w:szCs w:val="25"/>
        </w:rPr>
        <w:t xml:space="preserve"> una entidad nueva no haya transmitido</w:t>
      </w:r>
      <w:r w:rsidR="00767F3A">
        <w:rPr>
          <w:rFonts w:ascii="Arial" w:hAnsi="Arial" w:cs="Arial"/>
          <w:sz w:val="25"/>
          <w:szCs w:val="25"/>
        </w:rPr>
        <w:t xml:space="preserve"> los </w:t>
      </w:r>
      <w:r w:rsidR="008802DD" w:rsidRPr="008802DD">
        <w:rPr>
          <w:rFonts w:ascii="Arial" w:hAnsi="Arial" w:cs="Arial"/>
          <w:sz w:val="25"/>
          <w:szCs w:val="25"/>
        </w:rPr>
        <w:t>tres balances a la Superintendencia Financiera de Colombia para los meses incluidos en el trimestre de liquidación, la sumatoria de los saldos de las acreencias amparadas (descrito en el numeral 2.1.) se deberá dividir por el número de balances transmitidos.</w:t>
      </w:r>
    </w:p>
    <w:p w14:paraId="19150930" w14:textId="77777777" w:rsidR="008802DD" w:rsidRPr="008802DD" w:rsidRDefault="008802DD" w:rsidP="00641E69">
      <w:pPr>
        <w:jc w:val="both"/>
        <w:rPr>
          <w:rFonts w:ascii="Arial" w:hAnsi="Arial" w:cs="Arial"/>
          <w:sz w:val="25"/>
          <w:szCs w:val="25"/>
        </w:rPr>
      </w:pPr>
    </w:p>
    <w:p w14:paraId="570E3B85" w14:textId="77777777" w:rsidR="008802DD" w:rsidRPr="008802DD" w:rsidRDefault="008802DD" w:rsidP="00641E69">
      <w:pPr>
        <w:numPr>
          <w:ilvl w:val="1"/>
          <w:numId w:val="2"/>
        </w:numPr>
        <w:jc w:val="both"/>
        <w:rPr>
          <w:rFonts w:ascii="Arial" w:hAnsi="Arial" w:cs="Arial"/>
          <w:b/>
          <w:sz w:val="25"/>
          <w:szCs w:val="25"/>
          <w:lang w:val="es-CO" w:eastAsia="en-US"/>
        </w:rPr>
      </w:pPr>
      <w:r w:rsidRPr="008802DD">
        <w:rPr>
          <w:rFonts w:ascii="Arial" w:hAnsi="Arial" w:cs="Arial"/>
          <w:b/>
          <w:sz w:val="25"/>
          <w:szCs w:val="25"/>
          <w:lang w:val="es-CO" w:eastAsia="en-US"/>
        </w:rPr>
        <w:t>Entidades que terminen su existencia legal durante el trimestre a liquidar</w:t>
      </w:r>
    </w:p>
    <w:p w14:paraId="580E4949" w14:textId="77777777" w:rsidR="006037E5" w:rsidRDefault="006037E5" w:rsidP="00641E69">
      <w:pPr>
        <w:ind w:left="709"/>
        <w:jc w:val="both"/>
        <w:rPr>
          <w:rFonts w:ascii="Arial" w:hAnsi="Arial" w:cs="Arial"/>
          <w:sz w:val="25"/>
          <w:szCs w:val="25"/>
        </w:rPr>
      </w:pPr>
    </w:p>
    <w:p w14:paraId="3FB03A18" w14:textId="77777777" w:rsidR="00641E69" w:rsidRDefault="00F312F3" w:rsidP="00641E69">
      <w:pPr>
        <w:ind w:left="708"/>
        <w:jc w:val="both"/>
        <w:rPr>
          <w:rFonts w:ascii="Arial" w:hAnsi="Arial" w:cs="Arial"/>
          <w:sz w:val="25"/>
          <w:szCs w:val="25"/>
        </w:rPr>
      </w:pPr>
      <w:r w:rsidRPr="008802DD">
        <w:rPr>
          <w:rFonts w:ascii="Arial" w:hAnsi="Arial" w:cs="Arial"/>
          <w:sz w:val="25"/>
          <w:szCs w:val="25"/>
        </w:rPr>
        <w:t>En caso de que</w:t>
      </w:r>
      <w:r w:rsidR="008802DD" w:rsidRPr="008802DD">
        <w:rPr>
          <w:rFonts w:ascii="Arial" w:hAnsi="Arial" w:cs="Arial"/>
          <w:sz w:val="25"/>
          <w:szCs w:val="25"/>
        </w:rPr>
        <w:t xml:space="preserve"> una entidad deje de transmitir balances a la Superintendencia Financiera de Colombia en virtud de la terminación de su existencia legal, la prima a su cargo se liquidará de la siguiente manera:</w:t>
      </w:r>
    </w:p>
    <w:p w14:paraId="4031F669" w14:textId="77777777" w:rsidR="00641E69" w:rsidRDefault="00641E69" w:rsidP="00641E69">
      <w:pPr>
        <w:ind w:left="708"/>
        <w:jc w:val="both"/>
        <w:rPr>
          <w:rFonts w:ascii="Arial" w:hAnsi="Arial" w:cs="Arial"/>
          <w:sz w:val="25"/>
          <w:szCs w:val="25"/>
        </w:rPr>
      </w:pPr>
    </w:p>
    <w:p w14:paraId="7DB87F77" w14:textId="77777777" w:rsidR="00641E69" w:rsidRPr="00641E69" w:rsidRDefault="008802DD" w:rsidP="00641E69">
      <w:pPr>
        <w:pStyle w:val="Prrafodelista"/>
        <w:numPr>
          <w:ilvl w:val="0"/>
          <w:numId w:val="11"/>
        </w:numPr>
        <w:spacing w:after="0" w:line="240" w:lineRule="auto"/>
        <w:ind w:left="1068"/>
        <w:jc w:val="both"/>
        <w:rPr>
          <w:rFonts w:ascii="Arial" w:hAnsi="Arial" w:cs="Arial"/>
          <w:sz w:val="25"/>
          <w:szCs w:val="25"/>
        </w:rPr>
      </w:pPr>
      <w:r w:rsidRPr="00641E69">
        <w:rPr>
          <w:rFonts w:ascii="Arial" w:hAnsi="Arial" w:cs="Arial"/>
          <w:sz w:val="25"/>
          <w:szCs w:val="25"/>
        </w:rPr>
        <w:t xml:space="preserve">Si la terminación se efectúa antes </w:t>
      </w:r>
      <w:r w:rsidR="00635A4F" w:rsidRPr="00641E69">
        <w:rPr>
          <w:rFonts w:ascii="Arial" w:hAnsi="Arial" w:cs="Arial"/>
          <w:sz w:val="25"/>
          <w:szCs w:val="25"/>
        </w:rPr>
        <w:t xml:space="preserve">o durante </w:t>
      </w:r>
      <w:r w:rsidRPr="00641E69">
        <w:rPr>
          <w:rFonts w:ascii="Arial" w:hAnsi="Arial" w:cs="Arial"/>
          <w:sz w:val="25"/>
          <w:szCs w:val="25"/>
        </w:rPr>
        <w:t>el cierre del segundo mes del trimestre a liquidar, la entidad tomará el saldo de las acreencias amparadas del último balance transmitido a la Superintendencia Financiera de Colombia y aplicará el porcentaje establecido en la Resolución vigente del Seguro de Depósitos de manera proporcional al tiempo en que la entidad se mantuvo en funcionamiento durante el trimestre.</w:t>
      </w:r>
    </w:p>
    <w:p w14:paraId="34FAF298" w14:textId="77777777" w:rsidR="00641E69" w:rsidRDefault="00641E69" w:rsidP="00641E69">
      <w:pPr>
        <w:ind w:left="348"/>
        <w:jc w:val="both"/>
        <w:rPr>
          <w:rFonts w:ascii="Arial" w:hAnsi="Arial" w:cs="Arial"/>
          <w:sz w:val="25"/>
          <w:szCs w:val="25"/>
        </w:rPr>
      </w:pPr>
    </w:p>
    <w:p w14:paraId="68E1A464" w14:textId="29FEF49D" w:rsidR="008802DD" w:rsidRPr="00641E69" w:rsidRDefault="008802DD" w:rsidP="00641E69">
      <w:pPr>
        <w:pStyle w:val="Prrafodelista"/>
        <w:numPr>
          <w:ilvl w:val="0"/>
          <w:numId w:val="11"/>
        </w:numPr>
        <w:spacing w:after="0" w:line="240" w:lineRule="auto"/>
        <w:ind w:left="1068"/>
        <w:jc w:val="both"/>
        <w:rPr>
          <w:rFonts w:ascii="Arial" w:hAnsi="Arial" w:cs="Arial"/>
          <w:sz w:val="25"/>
          <w:szCs w:val="25"/>
        </w:rPr>
      </w:pPr>
      <w:r w:rsidRPr="00641E69">
        <w:rPr>
          <w:rFonts w:ascii="Arial" w:hAnsi="Arial" w:cs="Arial"/>
          <w:sz w:val="25"/>
          <w:szCs w:val="25"/>
        </w:rPr>
        <w:t>Si la terminación se efectúa durante el tercer mes del trimestre a liquidar, la entidad deberá sumar los saldos de las acreencias amparadas de los dos balances transmitidos a la Superintendencia Financiera de Colombia, dividir este resultado por dos (2) y aplicar el porcentaje establecido en la Resolución vigente del Seguro de Depósitos de manera proporcional al tiempo en que la entidad se mantuvo en funcionamiento durante el trimestre.</w:t>
      </w:r>
    </w:p>
    <w:p w14:paraId="336C9088" w14:textId="77777777" w:rsidR="008802DD" w:rsidRPr="008802DD" w:rsidRDefault="008802DD" w:rsidP="00641E69">
      <w:pPr>
        <w:jc w:val="both"/>
        <w:rPr>
          <w:rFonts w:ascii="Arial" w:hAnsi="Arial" w:cs="Arial"/>
          <w:sz w:val="25"/>
          <w:szCs w:val="25"/>
        </w:rPr>
      </w:pPr>
    </w:p>
    <w:p w14:paraId="66F18313" w14:textId="77777777" w:rsidR="008802DD" w:rsidRPr="008802DD" w:rsidRDefault="008802DD" w:rsidP="00641E69">
      <w:pPr>
        <w:numPr>
          <w:ilvl w:val="0"/>
          <w:numId w:val="2"/>
        </w:numPr>
        <w:jc w:val="both"/>
        <w:rPr>
          <w:rFonts w:ascii="Arial" w:hAnsi="Arial" w:cs="Arial"/>
          <w:b/>
          <w:sz w:val="25"/>
          <w:szCs w:val="25"/>
          <w:lang w:val="es-CO" w:eastAsia="en-US"/>
        </w:rPr>
      </w:pPr>
      <w:r w:rsidRPr="008802DD">
        <w:rPr>
          <w:rFonts w:ascii="Arial" w:hAnsi="Arial" w:cs="Arial"/>
          <w:b/>
          <w:sz w:val="25"/>
          <w:szCs w:val="25"/>
        </w:rPr>
        <w:t>DEFINICIONES GENERALES PARA ESTABLECIMIENTOS DE CRÉDITO</w:t>
      </w:r>
      <w:r w:rsidRPr="008802DD">
        <w:rPr>
          <w:rStyle w:val="Refdenotaalpie"/>
          <w:rFonts w:ascii="Arial" w:hAnsi="Arial" w:cs="Arial"/>
          <w:sz w:val="25"/>
          <w:szCs w:val="25"/>
        </w:rPr>
        <w:footnoteReference w:id="1"/>
      </w:r>
    </w:p>
    <w:p w14:paraId="5A3E6FA7" w14:textId="77777777" w:rsidR="008802DD" w:rsidRPr="008802DD" w:rsidRDefault="008802DD" w:rsidP="00641E69">
      <w:pPr>
        <w:ind w:left="360"/>
        <w:rPr>
          <w:rFonts w:ascii="Arial" w:hAnsi="Arial" w:cs="Arial"/>
          <w:b/>
          <w:sz w:val="25"/>
          <w:szCs w:val="25"/>
          <w:lang w:val="es-CO" w:eastAsia="en-US"/>
        </w:rPr>
      </w:pPr>
    </w:p>
    <w:p w14:paraId="284E4E42" w14:textId="77777777" w:rsidR="008802DD" w:rsidRPr="008802DD" w:rsidRDefault="008802DD" w:rsidP="00641E69">
      <w:pPr>
        <w:jc w:val="both"/>
        <w:rPr>
          <w:rFonts w:ascii="Arial" w:hAnsi="Arial" w:cs="Arial"/>
          <w:b/>
          <w:sz w:val="25"/>
          <w:szCs w:val="25"/>
        </w:rPr>
      </w:pPr>
      <w:r w:rsidRPr="008802DD">
        <w:rPr>
          <w:rFonts w:ascii="Arial" w:hAnsi="Arial" w:cs="Arial"/>
          <w:sz w:val="25"/>
          <w:szCs w:val="25"/>
        </w:rPr>
        <w:t xml:space="preserve">De acuerdo con la Resolución vigente del Seguro de Depósitos, expedida por la Junta Directiva del Fondo, los indicadores financieros sobre los cuales se determina </w:t>
      </w:r>
      <w:r w:rsidRPr="008802DD">
        <w:rPr>
          <w:rFonts w:ascii="Arial" w:hAnsi="Arial" w:cs="Arial"/>
          <w:sz w:val="25"/>
          <w:szCs w:val="25"/>
        </w:rPr>
        <w:lastRenderedPageBreak/>
        <w:t xml:space="preserve">la calificación de los establecimientos bancarios, las corporaciones financieras </w:t>
      </w:r>
      <w:r w:rsidR="004E4C37">
        <w:rPr>
          <w:rFonts w:ascii="Arial" w:hAnsi="Arial" w:cs="Arial"/>
          <w:sz w:val="25"/>
          <w:szCs w:val="25"/>
        </w:rPr>
        <w:t xml:space="preserve">y </w:t>
      </w:r>
      <w:r w:rsidRPr="008802DD">
        <w:rPr>
          <w:rFonts w:ascii="Arial" w:hAnsi="Arial" w:cs="Arial"/>
          <w:sz w:val="25"/>
          <w:szCs w:val="25"/>
        </w:rPr>
        <w:t>las compañías de financiamiento son los siguientes:</w:t>
      </w:r>
    </w:p>
    <w:p w14:paraId="5F1D05BA" w14:textId="77777777" w:rsidR="008802DD" w:rsidRPr="008802DD" w:rsidRDefault="008802DD" w:rsidP="00641E69">
      <w:pPr>
        <w:jc w:val="center"/>
        <w:rPr>
          <w:rFonts w:ascii="Arial" w:hAnsi="Arial" w:cs="Arial"/>
          <w:b/>
          <w:sz w:val="25"/>
          <w:szCs w:val="25"/>
        </w:rPr>
      </w:pPr>
    </w:p>
    <w:p w14:paraId="00D6C90E" w14:textId="77777777" w:rsidR="00CD60C3" w:rsidRPr="00CB348D" w:rsidRDefault="00CD60C3" w:rsidP="00641E69">
      <w:pPr>
        <w:tabs>
          <w:tab w:val="left" w:pos="284"/>
        </w:tabs>
        <w:autoSpaceDE w:val="0"/>
        <w:autoSpaceDN w:val="0"/>
        <w:adjustRightInd w:val="0"/>
        <w:jc w:val="both"/>
        <w:rPr>
          <w:rFonts w:ascii="Arial" w:hAnsi="Arial" w:cs="Arial"/>
          <w:noProof/>
          <w:color w:val="000000"/>
          <w:sz w:val="20"/>
          <w:szCs w:val="20"/>
          <w:lang w:val="es-CO" w:eastAsia="es-CO"/>
        </w:rPr>
      </w:pPr>
      <w:r w:rsidRPr="00CB348D">
        <w:rPr>
          <w:rFonts w:ascii="Arial" w:hAnsi="Arial" w:cs="Arial"/>
          <w:noProof/>
          <w:color w:val="000000"/>
          <w:sz w:val="20"/>
          <w:szCs w:val="20"/>
          <w:lang w:val="es-CO" w:eastAsia="es-CO"/>
        </w:rPr>
        <w:t>Tabla 1. Indicadores financieros para Bancos y Compañías de financiamiento</w:t>
      </w:r>
    </w:p>
    <w:p w14:paraId="72B9017B" w14:textId="0C5A45B6" w:rsidR="00CD60C3" w:rsidRPr="00715824" w:rsidRDefault="003055F7" w:rsidP="00641E69">
      <w:pPr>
        <w:tabs>
          <w:tab w:val="left" w:pos="284"/>
        </w:tabs>
        <w:autoSpaceDE w:val="0"/>
        <w:autoSpaceDN w:val="0"/>
        <w:adjustRightInd w:val="0"/>
        <w:jc w:val="center"/>
        <w:rPr>
          <w:rFonts w:ascii="Arial" w:hAnsi="Arial" w:cs="Arial"/>
          <w:color w:val="000000"/>
          <w:sz w:val="22"/>
          <w:szCs w:val="22"/>
        </w:rPr>
      </w:pPr>
      <w:r w:rsidRPr="009F2C68">
        <w:rPr>
          <w:noProof/>
        </w:rPr>
        <w:lastRenderedPageBreak/>
        <w:drawing>
          <wp:inline distT="0" distB="0" distL="0" distR="0" wp14:anchorId="7E310BB7" wp14:editId="5881BD0D">
            <wp:extent cx="5033645" cy="79819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3645" cy="7981950"/>
                    </a:xfrm>
                    <a:prstGeom prst="rect">
                      <a:avLst/>
                    </a:prstGeom>
                    <a:noFill/>
                    <a:ln>
                      <a:noFill/>
                    </a:ln>
                  </pic:spPr>
                </pic:pic>
              </a:graphicData>
            </a:graphic>
          </wp:inline>
        </w:drawing>
      </w:r>
    </w:p>
    <w:p w14:paraId="3E7AD2B4" w14:textId="19F81057" w:rsidR="00CD60C3" w:rsidRDefault="00CD60C3" w:rsidP="00641E69">
      <w:pPr>
        <w:autoSpaceDE w:val="0"/>
        <w:autoSpaceDN w:val="0"/>
        <w:adjustRightInd w:val="0"/>
        <w:jc w:val="both"/>
        <w:rPr>
          <w:noProof/>
        </w:rPr>
      </w:pPr>
    </w:p>
    <w:p w14:paraId="08F22986" w14:textId="77777777" w:rsidR="00CD60C3" w:rsidRDefault="00CD60C3" w:rsidP="00641E69">
      <w:pPr>
        <w:autoSpaceDE w:val="0"/>
        <w:autoSpaceDN w:val="0"/>
        <w:adjustRightInd w:val="0"/>
        <w:jc w:val="both"/>
        <w:rPr>
          <w:noProof/>
        </w:rPr>
      </w:pPr>
    </w:p>
    <w:p w14:paraId="36A2E545" w14:textId="77777777" w:rsidR="00CD60C3" w:rsidRPr="00CB348D" w:rsidRDefault="00CD60C3" w:rsidP="00641E69">
      <w:pPr>
        <w:autoSpaceDE w:val="0"/>
        <w:autoSpaceDN w:val="0"/>
        <w:adjustRightInd w:val="0"/>
        <w:rPr>
          <w:rFonts w:ascii="Arial" w:hAnsi="Arial" w:cs="Arial"/>
          <w:noProof/>
          <w:color w:val="000000"/>
          <w:sz w:val="20"/>
          <w:szCs w:val="20"/>
          <w:lang w:val="es-CO" w:eastAsia="es-CO"/>
        </w:rPr>
      </w:pPr>
      <w:r w:rsidRPr="00CB348D">
        <w:rPr>
          <w:rFonts w:ascii="Arial" w:hAnsi="Arial" w:cs="Arial"/>
          <w:noProof/>
          <w:color w:val="000000"/>
          <w:sz w:val="20"/>
          <w:szCs w:val="20"/>
          <w:lang w:val="es-CO" w:eastAsia="es-CO"/>
        </w:rPr>
        <w:t xml:space="preserve">Tabla 2.  Indicadores financieros Corporaciones Financieras </w:t>
      </w:r>
    </w:p>
    <w:p w14:paraId="22424702" w14:textId="77777777" w:rsidR="00CD60C3" w:rsidRDefault="00CD60C3" w:rsidP="00641E69">
      <w:pPr>
        <w:autoSpaceDE w:val="0"/>
        <w:autoSpaceDN w:val="0"/>
        <w:adjustRightInd w:val="0"/>
        <w:rPr>
          <w:rFonts w:ascii="Arial" w:hAnsi="Arial" w:cs="Arial"/>
          <w:noProof/>
          <w:color w:val="000000"/>
          <w:sz w:val="22"/>
          <w:szCs w:val="22"/>
          <w:lang w:val="es-CO" w:eastAsia="es-CO"/>
        </w:rPr>
      </w:pPr>
    </w:p>
    <w:p w14:paraId="63AAE161" w14:textId="0936651F" w:rsidR="00CD60C3" w:rsidRPr="00B501CB" w:rsidRDefault="00F312F3" w:rsidP="00641E69">
      <w:pPr>
        <w:autoSpaceDE w:val="0"/>
        <w:autoSpaceDN w:val="0"/>
        <w:adjustRightInd w:val="0"/>
        <w:rPr>
          <w:noProof/>
          <w:lang w:val="es-CO"/>
        </w:rPr>
      </w:pPr>
      <w:r w:rsidRPr="00F312F3">
        <w:rPr>
          <w:noProof/>
        </w:rPr>
        <w:drawing>
          <wp:inline distT="0" distB="0" distL="0" distR="0" wp14:anchorId="435E1633" wp14:editId="42232101">
            <wp:extent cx="5793105" cy="7477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3105" cy="7477125"/>
                    </a:xfrm>
                    <a:prstGeom prst="rect">
                      <a:avLst/>
                    </a:prstGeom>
                    <a:noFill/>
                    <a:ln>
                      <a:noFill/>
                    </a:ln>
                  </pic:spPr>
                </pic:pic>
              </a:graphicData>
            </a:graphic>
          </wp:inline>
        </w:drawing>
      </w:r>
    </w:p>
    <w:p w14:paraId="2D953549" w14:textId="5AAB33E1" w:rsidR="00CD60C3" w:rsidRPr="006F79B6" w:rsidRDefault="00CD60C3" w:rsidP="00641E69">
      <w:pPr>
        <w:autoSpaceDE w:val="0"/>
        <w:autoSpaceDN w:val="0"/>
        <w:adjustRightInd w:val="0"/>
        <w:jc w:val="both"/>
        <w:rPr>
          <w:rFonts w:ascii="Arial" w:hAnsi="Arial" w:cs="Arial"/>
          <w:color w:val="000000"/>
          <w:sz w:val="22"/>
          <w:szCs w:val="22"/>
        </w:rPr>
      </w:pPr>
    </w:p>
    <w:p w14:paraId="735C8FA2" w14:textId="77777777" w:rsidR="00CD60C3" w:rsidRPr="00D07FA9" w:rsidRDefault="00CD60C3" w:rsidP="00641E69">
      <w:pPr>
        <w:autoSpaceDE w:val="0"/>
        <w:autoSpaceDN w:val="0"/>
        <w:adjustRightInd w:val="0"/>
        <w:jc w:val="both"/>
        <w:rPr>
          <w:rFonts w:ascii="Arial" w:hAnsi="Arial" w:cs="Arial"/>
          <w:color w:val="000000"/>
          <w:sz w:val="25"/>
          <w:szCs w:val="25"/>
        </w:rPr>
      </w:pPr>
      <w:r w:rsidRPr="00D07FA9">
        <w:rPr>
          <w:rFonts w:ascii="Arial" w:hAnsi="Arial" w:cs="Arial"/>
          <w:color w:val="000000"/>
          <w:sz w:val="25"/>
          <w:szCs w:val="25"/>
        </w:rPr>
        <w:lastRenderedPageBreak/>
        <w:t>Atendiendo el tiempo de transición para la implementación completa de los requerimientos de capital de Basilea III, para los años 2023 y 2024 los rangos para la variable de solvencia total serán:</w:t>
      </w:r>
    </w:p>
    <w:p w14:paraId="40FF2560" w14:textId="77777777" w:rsidR="00CD60C3" w:rsidRDefault="00CD60C3" w:rsidP="00641E69">
      <w:pPr>
        <w:autoSpaceDE w:val="0"/>
        <w:autoSpaceDN w:val="0"/>
        <w:adjustRightInd w:val="0"/>
        <w:jc w:val="both"/>
        <w:rPr>
          <w:rFonts w:ascii="Arial" w:hAnsi="Arial" w:cs="Arial"/>
          <w:color w:val="000000"/>
          <w:sz w:val="22"/>
          <w:szCs w:val="22"/>
        </w:rPr>
      </w:pPr>
    </w:p>
    <w:p w14:paraId="1749A088" w14:textId="77777777" w:rsidR="00CD60C3" w:rsidRDefault="00CD60C3" w:rsidP="00641E69">
      <w:pPr>
        <w:autoSpaceDE w:val="0"/>
        <w:autoSpaceDN w:val="0"/>
        <w:adjustRightInd w:val="0"/>
        <w:rPr>
          <w:rFonts w:ascii="Arial" w:hAnsi="Arial" w:cs="Arial"/>
          <w:color w:val="000000"/>
          <w:sz w:val="22"/>
          <w:szCs w:val="22"/>
        </w:rPr>
      </w:pPr>
      <w:r w:rsidRPr="00892329">
        <w:rPr>
          <w:noProof/>
        </w:rPr>
        <w:drawing>
          <wp:inline distT="0" distB="0" distL="0" distR="0" wp14:anchorId="397E95C8" wp14:editId="4844E436">
            <wp:extent cx="5793105" cy="16541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3105" cy="1654175"/>
                    </a:xfrm>
                    <a:prstGeom prst="rect">
                      <a:avLst/>
                    </a:prstGeom>
                    <a:noFill/>
                    <a:ln>
                      <a:noFill/>
                    </a:ln>
                  </pic:spPr>
                </pic:pic>
              </a:graphicData>
            </a:graphic>
          </wp:inline>
        </w:drawing>
      </w:r>
    </w:p>
    <w:p w14:paraId="5D83A586" w14:textId="67E377B7" w:rsidR="00E25688" w:rsidRDefault="00E25688" w:rsidP="00641E69">
      <w:pPr>
        <w:pStyle w:val="Textoindependiente"/>
        <w:suppressAutoHyphens/>
        <w:jc w:val="center"/>
        <w:rPr>
          <w:rFonts w:cs="Arial"/>
          <w:b/>
          <w:sz w:val="25"/>
          <w:szCs w:val="25"/>
        </w:rPr>
      </w:pPr>
    </w:p>
    <w:p w14:paraId="1E7200A4" w14:textId="77777777" w:rsidR="008802DD" w:rsidRPr="008802DD" w:rsidRDefault="008802DD" w:rsidP="00641E69">
      <w:pPr>
        <w:pStyle w:val="Textoindependiente"/>
        <w:numPr>
          <w:ilvl w:val="0"/>
          <w:numId w:val="5"/>
        </w:numPr>
        <w:suppressAutoHyphens/>
        <w:rPr>
          <w:rFonts w:cs="Arial"/>
          <w:b/>
          <w:sz w:val="25"/>
          <w:szCs w:val="25"/>
        </w:rPr>
      </w:pPr>
      <w:r w:rsidRPr="008802DD">
        <w:rPr>
          <w:rFonts w:cs="Arial"/>
          <w:b/>
          <w:sz w:val="25"/>
          <w:szCs w:val="25"/>
        </w:rPr>
        <w:t>DETERMINACIÓN DE LAS CUENTAS QUE APLICAN A LOS ESTABLECIMIENTOS DE CRÉDITO</w:t>
      </w:r>
    </w:p>
    <w:p w14:paraId="168F49D4" w14:textId="77777777" w:rsidR="008802DD" w:rsidRPr="008802DD" w:rsidRDefault="008802DD" w:rsidP="00641E69">
      <w:pPr>
        <w:pStyle w:val="Textoindependiente"/>
        <w:suppressAutoHyphens/>
        <w:ind w:left="720"/>
        <w:rPr>
          <w:rFonts w:cs="Arial"/>
          <w:b/>
          <w:sz w:val="25"/>
          <w:szCs w:val="25"/>
        </w:rPr>
      </w:pPr>
    </w:p>
    <w:p w14:paraId="121010FA" w14:textId="682E4D31" w:rsidR="008802DD" w:rsidRDefault="008802DD" w:rsidP="00641E69">
      <w:pPr>
        <w:jc w:val="both"/>
        <w:rPr>
          <w:rFonts w:ascii="Arial" w:hAnsi="Arial" w:cs="Arial"/>
          <w:sz w:val="25"/>
          <w:szCs w:val="25"/>
        </w:rPr>
      </w:pPr>
      <w:r w:rsidRPr="008802DD">
        <w:rPr>
          <w:rFonts w:ascii="Arial" w:hAnsi="Arial" w:cs="Arial"/>
          <w:sz w:val="25"/>
          <w:szCs w:val="25"/>
        </w:rPr>
        <w:t>La información necesaria para el cálculo de cada uno de los indicadores es la siguiente</w:t>
      </w:r>
      <w:r w:rsidR="009D0006">
        <w:rPr>
          <w:rFonts w:ascii="Arial" w:hAnsi="Arial" w:cs="Arial"/>
          <w:sz w:val="25"/>
          <w:szCs w:val="25"/>
        </w:rPr>
        <w:t xml:space="preserve">, </w:t>
      </w:r>
      <w:r w:rsidR="00485425">
        <w:rPr>
          <w:rFonts w:ascii="Arial" w:hAnsi="Arial" w:cs="Arial"/>
          <w:sz w:val="25"/>
          <w:szCs w:val="25"/>
        </w:rPr>
        <w:t xml:space="preserve">la calificación mensual, </w:t>
      </w:r>
      <w:r w:rsidR="009D0006">
        <w:rPr>
          <w:rFonts w:ascii="Arial" w:hAnsi="Arial" w:cs="Arial"/>
          <w:sz w:val="25"/>
          <w:szCs w:val="25"/>
        </w:rPr>
        <w:t>la calificación trimestral y el porcentaje de devolución se debe redondear a dos cifras decimales</w:t>
      </w:r>
      <w:r w:rsidR="00B501CB">
        <w:rPr>
          <w:rFonts w:ascii="Arial" w:hAnsi="Arial" w:cs="Arial"/>
          <w:sz w:val="25"/>
          <w:szCs w:val="25"/>
        </w:rPr>
        <w:t>.</w:t>
      </w:r>
    </w:p>
    <w:p w14:paraId="0D67FAD3" w14:textId="77777777" w:rsidR="008802DD" w:rsidRPr="008802DD" w:rsidRDefault="008802DD" w:rsidP="00641E69">
      <w:pPr>
        <w:pStyle w:val="Prrafodelista"/>
        <w:spacing w:after="0" w:line="240" w:lineRule="auto"/>
        <w:ind w:left="426"/>
        <w:jc w:val="both"/>
        <w:rPr>
          <w:rFonts w:ascii="Arial" w:hAnsi="Arial" w:cs="Arial"/>
          <w:sz w:val="25"/>
          <w:szCs w:val="25"/>
        </w:rPr>
      </w:pPr>
    </w:p>
    <w:p w14:paraId="5EE313C7" w14:textId="675C8401" w:rsidR="008802DD" w:rsidRDefault="008802DD" w:rsidP="00641E69">
      <w:pPr>
        <w:pStyle w:val="Textoindependiente"/>
        <w:numPr>
          <w:ilvl w:val="1"/>
          <w:numId w:val="5"/>
        </w:numPr>
        <w:suppressAutoHyphens/>
        <w:rPr>
          <w:rFonts w:cs="Arial"/>
          <w:b/>
          <w:sz w:val="25"/>
          <w:szCs w:val="25"/>
        </w:rPr>
      </w:pPr>
      <w:r w:rsidRPr="008802DD">
        <w:rPr>
          <w:rFonts w:cs="Arial"/>
          <w:b/>
          <w:sz w:val="25"/>
          <w:szCs w:val="25"/>
        </w:rPr>
        <w:t xml:space="preserve"> C</w:t>
      </w:r>
      <w:r w:rsidR="002B1241" w:rsidRPr="008802DD">
        <w:rPr>
          <w:rFonts w:cs="Arial"/>
          <w:b/>
          <w:sz w:val="25"/>
          <w:szCs w:val="25"/>
        </w:rPr>
        <w:t>apital</w:t>
      </w:r>
    </w:p>
    <w:p w14:paraId="634111B9" w14:textId="77777777" w:rsidR="00640F29" w:rsidRPr="00640F29" w:rsidRDefault="00640F29" w:rsidP="00641E69">
      <w:pPr>
        <w:pStyle w:val="Textoindependiente"/>
        <w:suppressAutoHyphens/>
        <w:ind w:left="360"/>
        <w:rPr>
          <w:rFonts w:cs="Arial"/>
          <w:b/>
          <w:sz w:val="25"/>
          <w:szCs w:val="25"/>
        </w:rPr>
      </w:pPr>
    </w:p>
    <w:p w14:paraId="0D456462" w14:textId="77777777" w:rsidR="00640F29" w:rsidRDefault="008802DD" w:rsidP="00641E69">
      <w:pPr>
        <w:pStyle w:val="Prrafodelista"/>
        <w:spacing w:after="0" w:line="240" w:lineRule="auto"/>
        <w:ind w:left="708"/>
        <w:jc w:val="both"/>
        <w:rPr>
          <w:rFonts w:ascii="Arial" w:hAnsi="Arial" w:cs="Arial"/>
          <w:b/>
          <w:sz w:val="25"/>
          <w:szCs w:val="25"/>
        </w:rPr>
      </w:pPr>
      <w:r w:rsidRPr="008802DD">
        <w:rPr>
          <w:rFonts w:ascii="Arial" w:hAnsi="Arial" w:cs="Arial"/>
          <w:b/>
          <w:sz w:val="25"/>
          <w:szCs w:val="25"/>
        </w:rPr>
        <w:t xml:space="preserve">4.1.1 </w:t>
      </w:r>
      <w:r w:rsidR="003D4EA6" w:rsidRPr="00B501CB">
        <w:rPr>
          <w:rFonts w:ascii="Arial" w:hAnsi="Arial" w:cs="Arial"/>
          <w:b/>
          <w:sz w:val="25"/>
          <w:szCs w:val="25"/>
        </w:rPr>
        <w:t>Patrimonio técnico / (Activos ponderados por nivel de riesgo + ((100/</w:t>
      </w:r>
      <w:proofErr w:type="gramStart"/>
      <w:r w:rsidR="003D4EA6" w:rsidRPr="00B501CB">
        <w:rPr>
          <w:rFonts w:ascii="Arial" w:hAnsi="Arial" w:cs="Arial"/>
          <w:b/>
          <w:sz w:val="25"/>
          <w:szCs w:val="25"/>
        </w:rPr>
        <w:t>9)*</w:t>
      </w:r>
      <w:proofErr w:type="gramEnd"/>
      <w:r w:rsidR="003D4EA6" w:rsidRPr="00B501CB">
        <w:rPr>
          <w:rFonts w:ascii="Arial" w:hAnsi="Arial" w:cs="Arial"/>
          <w:b/>
          <w:sz w:val="25"/>
          <w:szCs w:val="25"/>
        </w:rPr>
        <w:t xml:space="preserve"> (VaR (mercado) + </w:t>
      </w:r>
      <w:proofErr w:type="spellStart"/>
      <w:r w:rsidR="003D4EA6" w:rsidRPr="00B501CB">
        <w:rPr>
          <w:rFonts w:ascii="Arial" w:hAnsi="Arial" w:cs="Arial"/>
          <w:b/>
          <w:sz w:val="25"/>
          <w:szCs w:val="25"/>
        </w:rPr>
        <w:t>VeR</w:t>
      </w:r>
      <w:proofErr w:type="spellEnd"/>
      <w:r w:rsidR="003D4EA6" w:rsidRPr="00B501CB">
        <w:rPr>
          <w:rFonts w:ascii="Arial" w:hAnsi="Arial" w:cs="Arial"/>
          <w:b/>
          <w:sz w:val="25"/>
          <w:szCs w:val="25"/>
        </w:rPr>
        <w:t>(operacional))))</w:t>
      </w:r>
    </w:p>
    <w:p w14:paraId="1D141BE7" w14:textId="77777777" w:rsidR="00640F29" w:rsidRDefault="00640F29" w:rsidP="00641E69">
      <w:pPr>
        <w:pStyle w:val="Prrafodelista"/>
        <w:spacing w:after="0" w:line="240" w:lineRule="auto"/>
        <w:ind w:left="708"/>
        <w:jc w:val="both"/>
        <w:rPr>
          <w:rFonts w:ascii="Arial" w:hAnsi="Arial" w:cs="Arial"/>
          <w:b/>
          <w:sz w:val="25"/>
          <w:szCs w:val="25"/>
        </w:rPr>
      </w:pPr>
    </w:p>
    <w:p w14:paraId="6263B7FE" w14:textId="1B4765AB" w:rsidR="00640F29" w:rsidRPr="00640F29" w:rsidRDefault="00E32214" w:rsidP="00641E69">
      <w:pPr>
        <w:pStyle w:val="Prrafodelista"/>
        <w:spacing w:after="0" w:line="240" w:lineRule="auto"/>
        <w:ind w:left="708"/>
        <w:jc w:val="both"/>
        <w:rPr>
          <w:rFonts w:ascii="Arial" w:hAnsi="Arial" w:cs="Arial"/>
          <w:b/>
          <w:sz w:val="25"/>
          <w:szCs w:val="25"/>
        </w:rPr>
      </w:pPr>
      <w:r w:rsidRPr="00640F29">
        <w:rPr>
          <w:rFonts w:ascii="Arial" w:hAnsi="Arial" w:cs="Arial"/>
          <w:sz w:val="25"/>
          <w:szCs w:val="25"/>
        </w:rPr>
        <w:t xml:space="preserve">Se tomará el </w:t>
      </w:r>
      <w:r w:rsidR="00A54C55" w:rsidRPr="00640F29">
        <w:rPr>
          <w:rFonts w:ascii="Arial" w:hAnsi="Arial" w:cs="Arial"/>
          <w:sz w:val="25"/>
          <w:szCs w:val="25"/>
        </w:rPr>
        <w:t>valor reportado en el Formato 239, Unidad de Captura 14, Columna 5, Subcuenta 060, correspondiente al concepto Relación de Solvencia Total</w:t>
      </w:r>
      <w:r w:rsidR="00640F29" w:rsidRPr="00640F29">
        <w:rPr>
          <w:rFonts w:ascii="Arial" w:hAnsi="Arial" w:cs="Arial"/>
          <w:sz w:val="25"/>
          <w:szCs w:val="25"/>
        </w:rPr>
        <w:t>.</w:t>
      </w:r>
    </w:p>
    <w:p w14:paraId="7494C57A" w14:textId="77777777" w:rsidR="00640F29" w:rsidRDefault="00640F29" w:rsidP="00641E69">
      <w:pPr>
        <w:pStyle w:val="Prrafodelista"/>
        <w:spacing w:after="0" w:line="240" w:lineRule="auto"/>
        <w:ind w:left="708"/>
        <w:jc w:val="both"/>
        <w:rPr>
          <w:rFonts w:ascii="Arial" w:hAnsi="Arial" w:cs="Arial"/>
          <w:sz w:val="25"/>
          <w:szCs w:val="25"/>
        </w:rPr>
      </w:pPr>
    </w:p>
    <w:p w14:paraId="22D580A4" w14:textId="77777777" w:rsidR="00640F29" w:rsidRDefault="008802DD" w:rsidP="00641E69">
      <w:pPr>
        <w:pStyle w:val="Prrafodelista"/>
        <w:spacing w:after="0" w:line="240" w:lineRule="auto"/>
        <w:ind w:left="708"/>
        <w:jc w:val="both"/>
        <w:rPr>
          <w:rFonts w:ascii="Arial" w:hAnsi="Arial" w:cs="Arial"/>
          <w:b/>
          <w:sz w:val="25"/>
          <w:szCs w:val="25"/>
        </w:rPr>
      </w:pPr>
      <w:r w:rsidRPr="00640F29">
        <w:rPr>
          <w:rFonts w:ascii="Arial" w:hAnsi="Arial" w:cs="Arial"/>
          <w:b/>
          <w:sz w:val="25"/>
          <w:szCs w:val="25"/>
        </w:rPr>
        <w:t>4.1.</w:t>
      </w:r>
      <w:r w:rsidR="00ED20E6" w:rsidRPr="00640F29">
        <w:rPr>
          <w:rFonts w:ascii="Arial" w:hAnsi="Arial" w:cs="Arial"/>
          <w:b/>
          <w:sz w:val="25"/>
          <w:szCs w:val="25"/>
        </w:rPr>
        <w:t>2</w:t>
      </w:r>
      <w:r w:rsidRPr="00640F29">
        <w:rPr>
          <w:rFonts w:ascii="Arial" w:hAnsi="Arial" w:cs="Arial"/>
          <w:b/>
          <w:sz w:val="25"/>
          <w:szCs w:val="25"/>
        </w:rPr>
        <w:t xml:space="preserve"> </w:t>
      </w:r>
      <w:r w:rsidR="00DE5470" w:rsidRPr="00640F29">
        <w:rPr>
          <w:rFonts w:ascii="Arial" w:hAnsi="Arial" w:cs="Arial"/>
          <w:b/>
          <w:sz w:val="25"/>
          <w:szCs w:val="25"/>
        </w:rPr>
        <w:t>Relación de Apalancamiento</w:t>
      </w:r>
    </w:p>
    <w:p w14:paraId="7DC8C1C4" w14:textId="77777777" w:rsidR="00640F29" w:rsidRDefault="00640F29" w:rsidP="00641E69">
      <w:pPr>
        <w:pStyle w:val="Prrafodelista"/>
        <w:spacing w:after="0" w:line="240" w:lineRule="auto"/>
        <w:ind w:left="708"/>
        <w:jc w:val="both"/>
        <w:rPr>
          <w:rFonts w:ascii="Arial" w:hAnsi="Arial" w:cs="Arial"/>
          <w:b/>
          <w:sz w:val="25"/>
          <w:szCs w:val="25"/>
        </w:rPr>
      </w:pPr>
    </w:p>
    <w:p w14:paraId="206A57B6" w14:textId="407CD182" w:rsidR="00884CAE" w:rsidRDefault="00DE5470" w:rsidP="00641E69">
      <w:pPr>
        <w:pStyle w:val="Prrafodelista"/>
        <w:spacing w:after="0" w:line="240" w:lineRule="auto"/>
        <w:ind w:left="708"/>
        <w:jc w:val="both"/>
        <w:rPr>
          <w:rFonts w:ascii="Arial" w:hAnsi="Arial" w:cs="Arial"/>
          <w:bCs/>
          <w:sz w:val="25"/>
          <w:szCs w:val="25"/>
        </w:rPr>
      </w:pPr>
      <w:r w:rsidRPr="00640F29">
        <w:rPr>
          <w:rFonts w:ascii="Arial" w:hAnsi="Arial" w:cs="Arial"/>
          <w:bCs/>
          <w:sz w:val="25"/>
          <w:szCs w:val="25"/>
        </w:rPr>
        <w:t>Del formato 239 se toma la unidad de captura 14, subcuenta 040, columna 5, correspondiente al concepto de Relación de apalancamiento</w:t>
      </w:r>
      <w:r w:rsidR="00640F29">
        <w:rPr>
          <w:rFonts w:ascii="Arial" w:hAnsi="Arial" w:cs="Arial"/>
          <w:bCs/>
          <w:sz w:val="25"/>
          <w:szCs w:val="25"/>
        </w:rPr>
        <w:t>.</w:t>
      </w:r>
    </w:p>
    <w:p w14:paraId="0F7E4896" w14:textId="77777777" w:rsidR="00640F29" w:rsidRPr="00640F29" w:rsidRDefault="00640F29" w:rsidP="00641E69">
      <w:pPr>
        <w:pStyle w:val="Prrafodelista"/>
        <w:spacing w:after="0" w:line="240" w:lineRule="auto"/>
        <w:ind w:left="360"/>
        <w:jc w:val="both"/>
        <w:rPr>
          <w:rFonts w:ascii="Arial" w:hAnsi="Arial" w:cs="Arial"/>
          <w:sz w:val="25"/>
          <w:szCs w:val="25"/>
        </w:rPr>
      </w:pPr>
    </w:p>
    <w:p w14:paraId="41DDC716" w14:textId="70B157D4" w:rsidR="008802DD" w:rsidRPr="008802DD" w:rsidRDefault="002B1241" w:rsidP="00641E69">
      <w:pPr>
        <w:pStyle w:val="Textoindependiente"/>
        <w:numPr>
          <w:ilvl w:val="1"/>
          <w:numId w:val="5"/>
        </w:numPr>
        <w:suppressAutoHyphens/>
        <w:rPr>
          <w:rFonts w:cs="Arial"/>
          <w:b/>
          <w:sz w:val="25"/>
          <w:szCs w:val="25"/>
        </w:rPr>
      </w:pPr>
      <w:r w:rsidRPr="008802DD">
        <w:rPr>
          <w:rFonts w:cs="Arial"/>
          <w:b/>
          <w:sz w:val="25"/>
          <w:szCs w:val="25"/>
        </w:rPr>
        <w:t>Activos</w:t>
      </w:r>
    </w:p>
    <w:p w14:paraId="06F53064" w14:textId="77777777" w:rsidR="00640F29" w:rsidRDefault="00640F29" w:rsidP="00641E69">
      <w:pPr>
        <w:jc w:val="both"/>
        <w:rPr>
          <w:rFonts w:ascii="Arial" w:hAnsi="Arial" w:cs="Arial"/>
          <w:b/>
          <w:sz w:val="25"/>
          <w:szCs w:val="25"/>
        </w:rPr>
      </w:pPr>
    </w:p>
    <w:p w14:paraId="4C92304E" w14:textId="77777777" w:rsidR="00640F29" w:rsidRDefault="008802DD" w:rsidP="00641E69">
      <w:pPr>
        <w:ind w:left="708"/>
        <w:jc w:val="both"/>
        <w:rPr>
          <w:rFonts w:ascii="Arial" w:hAnsi="Arial" w:cs="Arial"/>
          <w:b/>
          <w:sz w:val="25"/>
          <w:szCs w:val="25"/>
        </w:rPr>
      </w:pPr>
      <w:r w:rsidRPr="00640F29">
        <w:rPr>
          <w:rFonts w:ascii="Arial" w:hAnsi="Arial" w:cs="Arial"/>
          <w:b/>
          <w:sz w:val="25"/>
          <w:szCs w:val="25"/>
        </w:rPr>
        <w:t>4.2.1 Crecimiento anual de cartera bruta</w:t>
      </w:r>
    </w:p>
    <w:p w14:paraId="76BC5EF8" w14:textId="77777777" w:rsidR="00640F29" w:rsidRDefault="00640F29" w:rsidP="00641E69">
      <w:pPr>
        <w:ind w:left="708"/>
        <w:jc w:val="both"/>
        <w:rPr>
          <w:rFonts w:ascii="Arial" w:hAnsi="Arial" w:cs="Arial"/>
          <w:b/>
          <w:sz w:val="25"/>
          <w:szCs w:val="25"/>
        </w:rPr>
      </w:pPr>
    </w:p>
    <w:p w14:paraId="0F841E27" w14:textId="77777777" w:rsidR="00640F29" w:rsidRDefault="008802DD" w:rsidP="00641E69">
      <w:pPr>
        <w:ind w:left="708"/>
        <w:jc w:val="both"/>
        <w:rPr>
          <w:rStyle w:val="nfasis"/>
          <w:rFonts w:ascii="Arial" w:hAnsi="Arial" w:cs="Arial"/>
          <w:bCs/>
          <w:i w:val="0"/>
          <w:iCs w:val="0"/>
          <w:sz w:val="25"/>
          <w:szCs w:val="25"/>
          <w:shd w:val="clear" w:color="auto" w:fill="FFFFFF"/>
        </w:rPr>
      </w:pPr>
      <w:r w:rsidRPr="008802DD">
        <w:rPr>
          <w:rFonts w:ascii="Arial" w:hAnsi="Arial" w:cs="Arial"/>
          <w:sz w:val="25"/>
          <w:szCs w:val="25"/>
        </w:rPr>
        <w:t>Este indicador incluye los siguientes rubros del C</w:t>
      </w:r>
      <w:r w:rsidRPr="008802DD">
        <w:rPr>
          <w:rStyle w:val="nfasis"/>
          <w:rFonts w:ascii="Arial" w:hAnsi="Arial" w:cs="Arial"/>
          <w:bCs/>
          <w:i w:val="0"/>
          <w:iCs w:val="0"/>
          <w:sz w:val="25"/>
          <w:szCs w:val="25"/>
          <w:shd w:val="clear" w:color="auto" w:fill="FFFFFF"/>
        </w:rPr>
        <w:t>atálogo Único de</w:t>
      </w:r>
      <w:r w:rsidRPr="008802DD">
        <w:rPr>
          <w:rStyle w:val="apple-converted-space"/>
          <w:rFonts w:ascii="Arial" w:hAnsi="Arial" w:cs="Arial"/>
          <w:sz w:val="25"/>
          <w:szCs w:val="25"/>
          <w:shd w:val="clear" w:color="auto" w:fill="FFFFFF"/>
        </w:rPr>
        <w:t> </w:t>
      </w:r>
      <w:r w:rsidRPr="008802DD">
        <w:rPr>
          <w:rFonts w:ascii="Arial" w:hAnsi="Arial" w:cs="Arial"/>
          <w:sz w:val="25"/>
          <w:szCs w:val="25"/>
          <w:shd w:val="clear" w:color="auto" w:fill="FFFFFF"/>
        </w:rPr>
        <w:t>Información Financiera con fines de</w:t>
      </w:r>
      <w:r w:rsidRPr="008802DD">
        <w:rPr>
          <w:rStyle w:val="apple-converted-space"/>
          <w:rFonts w:ascii="Arial" w:hAnsi="Arial" w:cs="Arial"/>
          <w:sz w:val="25"/>
          <w:szCs w:val="25"/>
          <w:shd w:val="clear" w:color="auto" w:fill="FFFFFF"/>
        </w:rPr>
        <w:t> </w:t>
      </w:r>
      <w:r w:rsidRPr="008802DD">
        <w:rPr>
          <w:rStyle w:val="nfasis"/>
          <w:rFonts w:ascii="Arial" w:hAnsi="Arial" w:cs="Arial"/>
          <w:bCs/>
          <w:i w:val="0"/>
          <w:iCs w:val="0"/>
          <w:sz w:val="25"/>
          <w:szCs w:val="25"/>
          <w:shd w:val="clear" w:color="auto" w:fill="FFFFFF"/>
        </w:rPr>
        <w:t>supervisión:</w:t>
      </w:r>
    </w:p>
    <w:p w14:paraId="4FF1EFBF" w14:textId="77777777" w:rsidR="00640F29" w:rsidRDefault="00640F29" w:rsidP="00641E69">
      <w:pPr>
        <w:ind w:left="708"/>
        <w:jc w:val="both"/>
        <w:rPr>
          <w:rStyle w:val="nfasis"/>
          <w:rFonts w:ascii="Arial" w:hAnsi="Arial" w:cs="Arial"/>
          <w:bCs/>
          <w:i w:val="0"/>
          <w:iCs w:val="0"/>
          <w:sz w:val="25"/>
          <w:szCs w:val="25"/>
          <w:shd w:val="clear" w:color="auto" w:fill="FFFFFF"/>
        </w:rPr>
      </w:pPr>
    </w:p>
    <w:p w14:paraId="0985A87B" w14:textId="6F59FFC6" w:rsidR="008802DD" w:rsidRDefault="008802DD" w:rsidP="00641E69">
      <w:pPr>
        <w:ind w:left="708"/>
        <w:jc w:val="both"/>
        <w:rPr>
          <w:rFonts w:ascii="Arial" w:hAnsi="Arial" w:cs="Arial"/>
          <w:sz w:val="25"/>
          <w:szCs w:val="25"/>
        </w:rPr>
      </w:pPr>
      <w:r w:rsidRPr="008802DD">
        <w:rPr>
          <w:rFonts w:ascii="Arial" w:hAnsi="Arial" w:cs="Arial"/>
          <w:b/>
          <w:sz w:val="25"/>
          <w:szCs w:val="25"/>
        </w:rPr>
        <w:t>Cartera bruta</w:t>
      </w:r>
      <w:r w:rsidRPr="008802DD">
        <w:rPr>
          <w:rFonts w:ascii="Arial" w:hAnsi="Arial" w:cs="Arial"/>
          <w:sz w:val="25"/>
          <w:szCs w:val="25"/>
        </w:rPr>
        <w:t>. 140000 + 148700 + 148800 + 148900 + 149100 + 149300 + 149500 + 149800</w:t>
      </w:r>
    </w:p>
    <w:p w14:paraId="6AB653ED" w14:textId="77777777" w:rsidR="00640F29" w:rsidRPr="00640F29" w:rsidRDefault="00640F29" w:rsidP="00641E69">
      <w:pPr>
        <w:jc w:val="both"/>
        <w:rPr>
          <w:rFonts w:ascii="Arial" w:hAnsi="Arial" w:cs="Arial"/>
          <w:sz w:val="25"/>
          <w:szCs w:val="25"/>
        </w:rPr>
      </w:pPr>
    </w:p>
    <w:p w14:paraId="679D3A1E" w14:textId="77777777" w:rsidR="008802DD" w:rsidRPr="008802DD" w:rsidRDefault="008802DD" w:rsidP="00641E69">
      <w:pPr>
        <w:pStyle w:val="Prrafodelista"/>
        <w:spacing w:after="0" w:line="240" w:lineRule="auto"/>
        <w:ind w:left="709" w:firstLine="709"/>
        <w:jc w:val="both"/>
        <w:rPr>
          <w:rFonts w:ascii="Arial" w:hAnsi="Arial" w:cs="Arial"/>
          <w:sz w:val="25"/>
          <w:szCs w:val="25"/>
        </w:rPr>
      </w:pPr>
      <w:r w:rsidRPr="008802DD">
        <w:rPr>
          <w:rFonts w:ascii="Arial" w:hAnsi="Arial" w:cs="Arial"/>
          <w:sz w:val="25"/>
          <w:szCs w:val="25"/>
        </w:rPr>
        <w:lastRenderedPageBreak/>
        <w:t xml:space="preserve">La fórmula para el crecimiento anual es la siguiente: </w:t>
      </w:r>
    </w:p>
    <w:p w14:paraId="15CB7D06" w14:textId="77777777" w:rsidR="008802DD" w:rsidRPr="008802DD" w:rsidRDefault="008802DD" w:rsidP="00641E69">
      <w:pPr>
        <w:pStyle w:val="Prrafodelista"/>
        <w:spacing w:after="0" w:line="240" w:lineRule="auto"/>
        <w:ind w:left="709" w:firstLine="709"/>
        <w:jc w:val="both"/>
        <w:rPr>
          <w:rFonts w:ascii="Arial" w:hAnsi="Arial" w:cs="Arial"/>
          <w:sz w:val="25"/>
          <w:szCs w:val="25"/>
        </w:rPr>
      </w:pPr>
    </w:p>
    <w:p w14:paraId="3A8806C7" w14:textId="77777777" w:rsidR="008802DD" w:rsidRPr="008802DD" w:rsidRDefault="00A70BCF" w:rsidP="00641E69">
      <w:pPr>
        <w:pStyle w:val="Prrafodelista"/>
        <w:spacing w:after="0" w:line="240" w:lineRule="auto"/>
        <w:ind w:left="709" w:firstLine="709"/>
        <w:jc w:val="center"/>
        <w:rPr>
          <w:rFonts w:ascii="Arial" w:hAnsi="Arial" w:cs="Arial"/>
          <w:sz w:val="25"/>
          <w:szCs w:val="25"/>
        </w:rPr>
      </w:pPr>
      <m:oMathPara>
        <m:oMath>
          <m:d>
            <m:dPr>
              <m:ctrlPr>
                <w:rPr>
                  <w:rFonts w:ascii="Cambria Math" w:hAnsi="Cambria Math" w:cs="Arial"/>
                  <w:i/>
                  <w:sz w:val="25"/>
                  <w:szCs w:val="25"/>
                </w:rPr>
              </m:ctrlPr>
            </m:dPr>
            <m:e>
              <m:f>
                <m:fPr>
                  <m:ctrlPr>
                    <w:rPr>
                      <w:rFonts w:ascii="Cambria Math" w:hAnsi="Cambria Math" w:cs="Arial"/>
                      <w:i/>
                      <w:sz w:val="25"/>
                      <w:szCs w:val="25"/>
                    </w:rPr>
                  </m:ctrlPr>
                </m:fPr>
                <m:num>
                  <m:sSub>
                    <m:sSubPr>
                      <m:ctrlPr>
                        <w:rPr>
                          <w:rFonts w:ascii="Cambria Math" w:hAnsi="Cambria Math" w:cs="Arial"/>
                          <w:i/>
                          <w:sz w:val="25"/>
                          <w:szCs w:val="25"/>
                        </w:rPr>
                      </m:ctrlPr>
                    </m:sSubPr>
                    <m:e>
                      <m:r>
                        <w:rPr>
                          <w:rFonts w:ascii="Cambria Math" w:hAnsi="Cambria Math" w:cs="Arial"/>
                          <w:sz w:val="25"/>
                          <w:szCs w:val="25"/>
                        </w:rPr>
                        <m:t>Cartera Bruta</m:t>
                      </m:r>
                    </m:e>
                    <m:sub>
                      <m:r>
                        <w:rPr>
                          <w:rFonts w:ascii="Cambria Math" w:hAnsi="Cambria Math" w:cs="Arial"/>
                          <w:sz w:val="25"/>
                          <w:szCs w:val="25"/>
                        </w:rPr>
                        <m:t>t</m:t>
                      </m:r>
                    </m:sub>
                  </m:sSub>
                </m:num>
                <m:den>
                  <m:sSub>
                    <m:sSubPr>
                      <m:ctrlPr>
                        <w:rPr>
                          <w:rFonts w:ascii="Cambria Math" w:hAnsi="Cambria Math" w:cs="Arial"/>
                          <w:i/>
                          <w:sz w:val="25"/>
                          <w:szCs w:val="25"/>
                        </w:rPr>
                      </m:ctrlPr>
                    </m:sSubPr>
                    <m:e>
                      <m:r>
                        <w:rPr>
                          <w:rFonts w:ascii="Cambria Math" w:hAnsi="Cambria Math" w:cs="Arial"/>
                          <w:sz w:val="25"/>
                          <w:szCs w:val="25"/>
                        </w:rPr>
                        <m:t>Cartera Bruta</m:t>
                      </m:r>
                    </m:e>
                    <m:sub>
                      <m:r>
                        <w:rPr>
                          <w:rFonts w:ascii="Cambria Math" w:hAnsi="Cambria Math" w:cs="Arial"/>
                          <w:sz w:val="25"/>
                          <w:szCs w:val="25"/>
                        </w:rPr>
                        <m:t>t-12meses</m:t>
                      </m:r>
                    </m:sub>
                  </m:sSub>
                  <m:r>
                    <w:rPr>
                      <w:rFonts w:ascii="Cambria Math" w:hAnsi="Cambria Math" w:cs="Arial"/>
                      <w:sz w:val="25"/>
                      <w:szCs w:val="25"/>
                    </w:rPr>
                    <m:t xml:space="preserve"> </m:t>
                  </m:r>
                </m:den>
              </m:f>
            </m:e>
          </m:d>
          <m:r>
            <w:rPr>
              <w:rFonts w:ascii="Cambria Math" w:hAnsi="Cambria Math" w:cs="Arial"/>
              <w:sz w:val="25"/>
              <w:szCs w:val="25"/>
            </w:rPr>
            <m:t>-1</m:t>
          </m:r>
        </m:oMath>
      </m:oMathPara>
    </w:p>
    <w:p w14:paraId="0F78D198" w14:textId="77777777" w:rsidR="008802DD" w:rsidRPr="008802DD" w:rsidRDefault="008802DD" w:rsidP="00641E69">
      <w:pPr>
        <w:pStyle w:val="Prrafodelista"/>
        <w:spacing w:after="0" w:line="240" w:lineRule="auto"/>
        <w:ind w:left="709" w:firstLine="709"/>
        <w:jc w:val="center"/>
        <w:rPr>
          <w:rFonts w:ascii="Arial" w:hAnsi="Arial" w:cs="Arial"/>
          <w:sz w:val="25"/>
          <w:szCs w:val="25"/>
        </w:rPr>
      </w:pPr>
    </w:p>
    <w:p w14:paraId="290D6AC5" w14:textId="77777777" w:rsidR="008802DD" w:rsidRDefault="008802DD" w:rsidP="00641E69">
      <w:pPr>
        <w:pStyle w:val="Prrafodelista"/>
        <w:spacing w:after="0" w:line="240" w:lineRule="auto"/>
        <w:ind w:left="709" w:firstLine="709"/>
        <w:jc w:val="both"/>
        <w:rPr>
          <w:rFonts w:ascii="Arial" w:hAnsi="Arial" w:cs="Arial"/>
          <w:sz w:val="25"/>
          <w:szCs w:val="25"/>
        </w:rPr>
      </w:pPr>
      <w:r w:rsidRPr="008802DD">
        <w:rPr>
          <w:rFonts w:ascii="Arial" w:hAnsi="Arial" w:cs="Arial"/>
          <w:sz w:val="25"/>
          <w:szCs w:val="25"/>
        </w:rPr>
        <w:t xml:space="preserve">Donde t corresponde al mes en el que se realiza el cálculo. </w:t>
      </w:r>
    </w:p>
    <w:p w14:paraId="0E088B57" w14:textId="77777777" w:rsidR="00640F29" w:rsidRDefault="00640F29" w:rsidP="00641E69">
      <w:pPr>
        <w:jc w:val="both"/>
        <w:rPr>
          <w:rFonts w:ascii="Arial" w:hAnsi="Arial" w:cs="Arial"/>
          <w:b/>
          <w:sz w:val="25"/>
          <w:szCs w:val="25"/>
        </w:rPr>
      </w:pPr>
    </w:p>
    <w:p w14:paraId="154DFD32" w14:textId="77777777" w:rsidR="00640F29" w:rsidRDefault="008802DD" w:rsidP="00641E69">
      <w:pPr>
        <w:ind w:left="709"/>
        <w:jc w:val="both"/>
        <w:rPr>
          <w:rFonts w:ascii="Arial" w:hAnsi="Arial" w:cs="Arial"/>
          <w:b/>
          <w:sz w:val="25"/>
          <w:szCs w:val="25"/>
        </w:rPr>
      </w:pPr>
      <w:r w:rsidRPr="00640F29">
        <w:rPr>
          <w:rFonts w:ascii="Arial" w:hAnsi="Arial" w:cs="Arial"/>
          <w:b/>
          <w:sz w:val="25"/>
          <w:szCs w:val="25"/>
        </w:rPr>
        <w:t xml:space="preserve">4.2.2 </w:t>
      </w:r>
      <w:r w:rsidR="00485425" w:rsidRPr="00640F29">
        <w:rPr>
          <w:rFonts w:ascii="Arial" w:hAnsi="Arial" w:cs="Arial"/>
          <w:b/>
          <w:sz w:val="25"/>
          <w:szCs w:val="25"/>
        </w:rPr>
        <w:t>Cartera improductiva/ Cartera total</w:t>
      </w:r>
    </w:p>
    <w:p w14:paraId="02E54A52" w14:textId="77777777" w:rsidR="00640F29" w:rsidRDefault="00640F29" w:rsidP="00641E69">
      <w:pPr>
        <w:ind w:left="709"/>
        <w:jc w:val="both"/>
        <w:rPr>
          <w:rFonts w:ascii="Arial" w:hAnsi="Arial" w:cs="Arial"/>
          <w:b/>
          <w:sz w:val="25"/>
          <w:szCs w:val="25"/>
        </w:rPr>
      </w:pPr>
    </w:p>
    <w:p w14:paraId="0CA3763F" w14:textId="77777777" w:rsidR="00640F29" w:rsidRDefault="00485425" w:rsidP="00641E69">
      <w:pPr>
        <w:ind w:left="709"/>
        <w:jc w:val="both"/>
        <w:rPr>
          <w:rFonts w:ascii="Arial" w:hAnsi="Arial" w:cs="Arial"/>
          <w:b/>
          <w:sz w:val="25"/>
          <w:szCs w:val="25"/>
        </w:rPr>
      </w:pPr>
      <w:r w:rsidRPr="00640F29">
        <w:rPr>
          <w:rFonts w:ascii="Arial" w:hAnsi="Arial" w:cs="Arial"/>
          <w:sz w:val="25"/>
          <w:szCs w:val="25"/>
        </w:rPr>
        <w:t>Este indicador incluye los siguientes rubros del Catálogo Único de Información Financiera con fines de supervisión:</w:t>
      </w:r>
    </w:p>
    <w:p w14:paraId="5E6F6CEA" w14:textId="77777777" w:rsidR="00640F29" w:rsidRDefault="00640F29" w:rsidP="00641E69">
      <w:pPr>
        <w:ind w:left="709"/>
        <w:jc w:val="both"/>
        <w:rPr>
          <w:rFonts w:ascii="Arial" w:hAnsi="Arial" w:cs="Arial"/>
          <w:b/>
          <w:sz w:val="25"/>
          <w:szCs w:val="25"/>
        </w:rPr>
      </w:pPr>
    </w:p>
    <w:p w14:paraId="145E80CA" w14:textId="77777777" w:rsidR="00640F29" w:rsidRPr="00473918" w:rsidRDefault="001B4B31" w:rsidP="00641E69">
      <w:pPr>
        <w:ind w:left="709"/>
        <w:jc w:val="both"/>
        <w:rPr>
          <w:rFonts w:ascii="Arial" w:hAnsi="Arial" w:cs="Arial"/>
          <w:sz w:val="25"/>
          <w:szCs w:val="25"/>
        </w:rPr>
      </w:pPr>
      <w:r w:rsidRPr="00473918">
        <w:rPr>
          <w:rFonts w:ascii="Arial" w:hAnsi="Arial" w:cs="Arial"/>
          <w:b/>
          <w:bCs/>
          <w:sz w:val="25"/>
          <w:szCs w:val="25"/>
        </w:rPr>
        <w:t>Cartera improductiva (numerador):</w:t>
      </w:r>
      <w:r w:rsidRPr="00473918">
        <w:rPr>
          <w:rFonts w:ascii="Arial" w:hAnsi="Arial" w:cs="Arial"/>
          <w:sz w:val="25"/>
          <w:szCs w:val="25"/>
        </w:rPr>
        <w:t xml:space="preserve"> 828706 + 828708 + 828710 + 828806 + 828808 + 828810 + 828306 +828308 + 828310 + 828406 + 828408 + 828410 + 828105 + 828106 + 828108 + 828110 + 828204 + 828206 + 828208 + 828210 + 828506 + 828508 + 828510 + 828606 + 828608 + 828610 + 827466 + 827468 + 827470 + 827406 + 827408 + 827410 + 827436 + 827438 + 827440.</w:t>
      </w:r>
    </w:p>
    <w:p w14:paraId="1DDEFB00" w14:textId="77777777" w:rsidR="00640F29" w:rsidRPr="00473918" w:rsidRDefault="00640F29" w:rsidP="00641E69">
      <w:pPr>
        <w:ind w:left="709"/>
        <w:jc w:val="both"/>
        <w:rPr>
          <w:rFonts w:ascii="Arial" w:hAnsi="Arial" w:cs="Arial"/>
          <w:sz w:val="25"/>
          <w:szCs w:val="25"/>
        </w:rPr>
      </w:pPr>
    </w:p>
    <w:p w14:paraId="45556FEF" w14:textId="77777777" w:rsidR="00640F29" w:rsidRPr="00473918" w:rsidRDefault="001B4B31" w:rsidP="00641E69">
      <w:pPr>
        <w:ind w:left="709"/>
        <w:jc w:val="both"/>
        <w:rPr>
          <w:rFonts w:ascii="Arial" w:hAnsi="Arial" w:cs="Arial"/>
          <w:sz w:val="25"/>
          <w:szCs w:val="25"/>
        </w:rPr>
      </w:pPr>
      <w:r w:rsidRPr="00473918">
        <w:rPr>
          <w:rFonts w:ascii="Arial" w:hAnsi="Arial" w:cs="Arial"/>
          <w:b/>
          <w:bCs/>
          <w:sz w:val="25"/>
          <w:szCs w:val="25"/>
        </w:rPr>
        <w:t>Cartera total (denominador):</w:t>
      </w:r>
      <w:r w:rsidRPr="00473918">
        <w:rPr>
          <w:rFonts w:ascii="Arial" w:hAnsi="Arial" w:cs="Arial"/>
          <w:sz w:val="25"/>
          <w:szCs w:val="25"/>
        </w:rPr>
        <w:t xml:space="preserve"> 140000 + 148700 + 148800 + 148900 + 149100 + 149300 + 149500 + 149800.</w:t>
      </w:r>
    </w:p>
    <w:p w14:paraId="064E5482" w14:textId="77777777" w:rsidR="00640F29" w:rsidRPr="00473918" w:rsidRDefault="00640F29" w:rsidP="00641E69">
      <w:pPr>
        <w:ind w:left="709"/>
        <w:jc w:val="both"/>
        <w:rPr>
          <w:rFonts w:ascii="Arial" w:hAnsi="Arial" w:cs="Arial"/>
          <w:sz w:val="25"/>
          <w:szCs w:val="25"/>
        </w:rPr>
      </w:pPr>
    </w:p>
    <w:p w14:paraId="529D64A1" w14:textId="77777777" w:rsidR="00640F29" w:rsidRPr="00473918" w:rsidRDefault="008802DD" w:rsidP="00641E69">
      <w:pPr>
        <w:ind w:left="709"/>
        <w:jc w:val="both"/>
        <w:rPr>
          <w:rFonts w:ascii="Arial" w:hAnsi="Arial" w:cs="Arial"/>
          <w:b/>
          <w:sz w:val="25"/>
          <w:szCs w:val="25"/>
        </w:rPr>
      </w:pPr>
      <w:r w:rsidRPr="00473918">
        <w:rPr>
          <w:rFonts w:ascii="Arial" w:hAnsi="Arial" w:cs="Arial"/>
          <w:b/>
          <w:sz w:val="25"/>
          <w:szCs w:val="25"/>
        </w:rPr>
        <w:t xml:space="preserve">4.2.3 </w:t>
      </w:r>
      <w:r w:rsidR="00EB6531" w:rsidRPr="00473918">
        <w:rPr>
          <w:rFonts w:ascii="Arial" w:hAnsi="Arial" w:cs="Arial"/>
          <w:b/>
          <w:sz w:val="25"/>
          <w:szCs w:val="25"/>
        </w:rPr>
        <w:t>Provisiones cartera CDE / Cartera CDE</w:t>
      </w:r>
    </w:p>
    <w:p w14:paraId="1FBE4D31" w14:textId="77777777" w:rsidR="00640F29" w:rsidRDefault="00640F29" w:rsidP="00641E69">
      <w:pPr>
        <w:ind w:left="709"/>
        <w:jc w:val="both"/>
        <w:rPr>
          <w:rFonts w:ascii="Arial" w:hAnsi="Arial" w:cs="Arial"/>
          <w:b/>
          <w:sz w:val="25"/>
          <w:szCs w:val="25"/>
        </w:rPr>
      </w:pPr>
    </w:p>
    <w:p w14:paraId="45F41312" w14:textId="77777777" w:rsidR="00640F29" w:rsidRDefault="00EB6531" w:rsidP="00641E69">
      <w:pPr>
        <w:ind w:left="709"/>
        <w:jc w:val="both"/>
        <w:rPr>
          <w:rFonts w:ascii="Arial" w:hAnsi="Arial" w:cs="Arial"/>
          <w:sz w:val="25"/>
          <w:szCs w:val="25"/>
        </w:rPr>
      </w:pPr>
      <w:r w:rsidRPr="008802DD">
        <w:rPr>
          <w:rFonts w:ascii="Arial" w:hAnsi="Arial" w:cs="Arial"/>
          <w:sz w:val="25"/>
          <w:szCs w:val="25"/>
        </w:rPr>
        <w:t>Este indicador incluye los siguientes rubros del Catálogo Único de Información Financiera con fines de supervisión:</w:t>
      </w:r>
    </w:p>
    <w:p w14:paraId="0D18D78D" w14:textId="77777777" w:rsidR="00640F29" w:rsidRDefault="00640F29" w:rsidP="00641E69">
      <w:pPr>
        <w:ind w:left="709"/>
        <w:jc w:val="both"/>
        <w:rPr>
          <w:rFonts w:ascii="Arial" w:hAnsi="Arial" w:cs="Arial"/>
          <w:sz w:val="25"/>
          <w:szCs w:val="25"/>
        </w:rPr>
      </w:pPr>
    </w:p>
    <w:p w14:paraId="79C95A3F" w14:textId="77777777" w:rsidR="00640F29" w:rsidRDefault="00EB6531" w:rsidP="00641E69">
      <w:pPr>
        <w:ind w:left="709"/>
        <w:jc w:val="both"/>
        <w:rPr>
          <w:rFonts w:ascii="Arial" w:hAnsi="Arial" w:cs="Arial"/>
          <w:sz w:val="25"/>
          <w:szCs w:val="25"/>
        </w:rPr>
      </w:pPr>
      <w:r w:rsidRPr="00640F29">
        <w:rPr>
          <w:rFonts w:ascii="Arial" w:hAnsi="Arial" w:cs="Arial"/>
          <w:b/>
          <w:sz w:val="25"/>
          <w:szCs w:val="25"/>
        </w:rPr>
        <w:t>Provisiones cartera CDE (Numerador):</w:t>
      </w:r>
      <w:r w:rsidRPr="00640F29">
        <w:rPr>
          <w:rFonts w:ascii="Arial" w:hAnsi="Arial" w:cs="Arial"/>
          <w:bCs/>
          <w:sz w:val="25"/>
          <w:szCs w:val="25"/>
        </w:rPr>
        <w:t xml:space="preserve"> 148800 + 148900 + 149100 + 149300 + 149500 – 148805 – 148810 – 148830 – 148835 – </w:t>
      </w:r>
      <w:proofErr w:type="gramStart"/>
      <w:r w:rsidRPr="00640F29">
        <w:rPr>
          <w:rFonts w:ascii="Arial" w:hAnsi="Arial" w:cs="Arial"/>
          <w:bCs/>
          <w:sz w:val="25"/>
          <w:szCs w:val="25"/>
        </w:rPr>
        <w:t xml:space="preserve">148860 </w:t>
      </w:r>
      <w:r w:rsidR="007B69AD" w:rsidRPr="00640F29">
        <w:rPr>
          <w:rFonts w:ascii="Arial" w:hAnsi="Arial" w:cs="Arial"/>
          <w:bCs/>
          <w:sz w:val="25"/>
          <w:szCs w:val="25"/>
        </w:rPr>
        <w:t xml:space="preserve"> -</w:t>
      </w:r>
      <w:proofErr w:type="gramEnd"/>
      <w:r w:rsidR="007B69AD" w:rsidRPr="00640F29">
        <w:rPr>
          <w:rFonts w:ascii="Arial" w:hAnsi="Arial" w:cs="Arial"/>
          <w:bCs/>
          <w:sz w:val="25"/>
          <w:szCs w:val="25"/>
        </w:rPr>
        <w:t xml:space="preserve"> </w:t>
      </w:r>
      <w:r w:rsidRPr="00640F29">
        <w:rPr>
          <w:rFonts w:ascii="Arial" w:hAnsi="Arial" w:cs="Arial"/>
          <w:bCs/>
          <w:sz w:val="25"/>
          <w:szCs w:val="25"/>
        </w:rPr>
        <w:t>148865 – 148905 – 148910 – 148915 – 148920 – 149105 – 149110 – 149305 – 149310 – 149505 – 149510.</w:t>
      </w:r>
    </w:p>
    <w:p w14:paraId="3358FD2C" w14:textId="77777777" w:rsidR="00640F29" w:rsidRDefault="00640F29" w:rsidP="00641E69">
      <w:pPr>
        <w:ind w:left="709"/>
        <w:jc w:val="both"/>
        <w:rPr>
          <w:rFonts w:ascii="Arial" w:hAnsi="Arial" w:cs="Arial"/>
          <w:sz w:val="25"/>
          <w:szCs w:val="25"/>
        </w:rPr>
      </w:pPr>
    </w:p>
    <w:p w14:paraId="3E442912" w14:textId="77777777" w:rsidR="00473918" w:rsidRDefault="00EB6531" w:rsidP="00641E69">
      <w:pPr>
        <w:ind w:left="709"/>
        <w:jc w:val="both"/>
        <w:rPr>
          <w:rFonts w:ascii="Arial" w:hAnsi="Arial" w:cs="Arial"/>
          <w:sz w:val="25"/>
          <w:szCs w:val="25"/>
        </w:rPr>
      </w:pPr>
      <w:r w:rsidRPr="00640F29">
        <w:rPr>
          <w:rFonts w:ascii="Arial" w:hAnsi="Arial" w:cs="Arial"/>
          <w:b/>
          <w:sz w:val="25"/>
          <w:szCs w:val="25"/>
        </w:rPr>
        <w:t>Cartera CDE (Denominador):</w:t>
      </w:r>
      <w:r w:rsidRPr="00640F29">
        <w:rPr>
          <w:rFonts w:ascii="Arial" w:hAnsi="Arial" w:cs="Arial"/>
          <w:bCs/>
          <w:sz w:val="25"/>
          <w:szCs w:val="25"/>
        </w:rPr>
        <w:t xml:space="preserve"> 140425 + 140430 + 140435 + 140440 + 140445 + 140450 + 140815 + 140820 + 140825 + 141015 + 141020 + 141025 + 141215 + 141220 + 141225 + 141415 + 141420 + 141425 + 141440 + 141445 + 141450 + 141470 + 141475 + 141480.</w:t>
      </w:r>
    </w:p>
    <w:p w14:paraId="0B890575" w14:textId="77777777" w:rsidR="00473918" w:rsidRDefault="00473918" w:rsidP="00641E69">
      <w:pPr>
        <w:ind w:left="709"/>
        <w:jc w:val="both"/>
        <w:rPr>
          <w:rFonts w:ascii="Arial" w:hAnsi="Arial" w:cs="Arial"/>
          <w:b/>
          <w:sz w:val="25"/>
          <w:szCs w:val="25"/>
        </w:rPr>
      </w:pPr>
    </w:p>
    <w:p w14:paraId="43623C13" w14:textId="77777777" w:rsidR="006A4C3D" w:rsidRDefault="008802DD" w:rsidP="006A4C3D">
      <w:pPr>
        <w:pStyle w:val="Prrafodelista"/>
        <w:numPr>
          <w:ilvl w:val="2"/>
          <w:numId w:val="9"/>
        </w:numPr>
        <w:spacing w:after="0" w:line="240" w:lineRule="auto"/>
        <w:jc w:val="both"/>
        <w:rPr>
          <w:rFonts w:ascii="Arial" w:hAnsi="Arial" w:cs="Arial"/>
          <w:b/>
          <w:sz w:val="25"/>
          <w:szCs w:val="25"/>
        </w:rPr>
      </w:pPr>
      <w:r w:rsidRPr="00473918">
        <w:rPr>
          <w:rFonts w:ascii="Arial" w:hAnsi="Arial" w:cs="Arial"/>
          <w:b/>
          <w:sz w:val="25"/>
          <w:szCs w:val="25"/>
        </w:rPr>
        <w:t>VaR / Patrimonio básico</w:t>
      </w:r>
    </w:p>
    <w:p w14:paraId="490BF176" w14:textId="77777777" w:rsidR="006A4C3D" w:rsidRDefault="006A4C3D" w:rsidP="006A4C3D">
      <w:pPr>
        <w:ind w:left="708"/>
        <w:jc w:val="both"/>
        <w:rPr>
          <w:rFonts w:ascii="Arial" w:hAnsi="Arial" w:cs="Arial"/>
          <w:b/>
          <w:sz w:val="25"/>
          <w:szCs w:val="25"/>
        </w:rPr>
      </w:pPr>
    </w:p>
    <w:p w14:paraId="3805EC83" w14:textId="77777777" w:rsidR="006A4C3D" w:rsidRPr="006A4C3D" w:rsidRDefault="008802DD" w:rsidP="006A4C3D">
      <w:pPr>
        <w:pStyle w:val="Prrafodelista"/>
        <w:numPr>
          <w:ilvl w:val="0"/>
          <w:numId w:val="12"/>
        </w:numPr>
        <w:spacing w:after="0" w:line="240" w:lineRule="auto"/>
        <w:ind w:left="1068"/>
        <w:jc w:val="both"/>
        <w:rPr>
          <w:rFonts w:ascii="Arial" w:hAnsi="Arial" w:cs="Arial"/>
          <w:b/>
          <w:sz w:val="25"/>
          <w:szCs w:val="25"/>
        </w:rPr>
      </w:pPr>
      <w:r w:rsidRPr="006A4C3D">
        <w:rPr>
          <w:rFonts w:ascii="Arial" w:hAnsi="Arial" w:cs="Arial"/>
          <w:b/>
          <w:sz w:val="25"/>
          <w:szCs w:val="25"/>
        </w:rPr>
        <w:t>VaR - Riesgo de mercado (numerador)</w:t>
      </w:r>
      <w:r w:rsidRPr="006A4C3D">
        <w:rPr>
          <w:rFonts w:ascii="Arial" w:hAnsi="Arial" w:cs="Arial"/>
          <w:sz w:val="25"/>
          <w:szCs w:val="25"/>
        </w:rPr>
        <w:t xml:space="preserve">. </w:t>
      </w:r>
      <w:r w:rsidR="00E32214" w:rsidRPr="006A4C3D">
        <w:rPr>
          <w:rFonts w:ascii="Arial" w:hAnsi="Arial" w:cs="Arial"/>
          <w:sz w:val="25"/>
          <w:szCs w:val="25"/>
        </w:rPr>
        <w:t>S</w:t>
      </w:r>
      <w:r w:rsidR="00A54C55" w:rsidRPr="006A4C3D">
        <w:rPr>
          <w:rFonts w:ascii="Arial" w:hAnsi="Arial" w:cs="Arial"/>
          <w:sz w:val="25"/>
          <w:szCs w:val="25"/>
        </w:rPr>
        <w:t>e tomará el valor reportado en el Formato 239, Unidad de Captura 14, Columna 5, Subcuenta 030, correspondiente al concepto Total Riesgo de Mercado</w:t>
      </w:r>
      <w:r w:rsidR="00A85B23" w:rsidRPr="006A4C3D">
        <w:rPr>
          <w:rFonts w:ascii="Arial" w:hAnsi="Arial" w:cs="Arial"/>
          <w:sz w:val="25"/>
          <w:szCs w:val="25"/>
        </w:rPr>
        <w:t>, multiplicado por 9%.</w:t>
      </w:r>
    </w:p>
    <w:p w14:paraId="359E84B3" w14:textId="77777777" w:rsidR="006A4C3D" w:rsidRDefault="006A4C3D" w:rsidP="006A4C3D">
      <w:pPr>
        <w:ind w:left="348"/>
        <w:jc w:val="both"/>
        <w:rPr>
          <w:rFonts w:ascii="Arial" w:hAnsi="Arial" w:cs="Arial"/>
          <w:b/>
          <w:bCs/>
          <w:sz w:val="25"/>
          <w:szCs w:val="25"/>
        </w:rPr>
      </w:pPr>
    </w:p>
    <w:p w14:paraId="29761A23" w14:textId="564F272B" w:rsidR="00A54C55" w:rsidRPr="006A4C3D" w:rsidRDefault="00473918" w:rsidP="006A4C3D">
      <w:pPr>
        <w:pStyle w:val="Prrafodelista"/>
        <w:numPr>
          <w:ilvl w:val="0"/>
          <w:numId w:val="12"/>
        </w:numPr>
        <w:spacing w:after="0" w:line="240" w:lineRule="auto"/>
        <w:ind w:left="1068"/>
        <w:jc w:val="both"/>
        <w:rPr>
          <w:rFonts w:ascii="Arial" w:hAnsi="Arial" w:cs="Arial"/>
          <w:b/>
          <w:sz w:val="25"/>
          <w:szCs w:val="25"/>
        </w:rPr>
      </w:pPr>
      <w:r w:rsidRPr="006A4C3D">
        <w:rPr>
          <w:rFonts w:ascii="Arial" w:hAnsi="Arial" w:cs="Arial"/>
          <w:b/>
          <w:bCs/>
          <w:sz w:val="25"/>
          <w:szCs w:val="25"/>
        </w:rPr>
        <w:lastRenderedPageBreak/>
        <w:t>P</w:t>
      </w:r>
      <w:r w:rsidR="008802DD" w:rsidRPr="006A4C3D">
        <w:rPr>
          <w:rFonts w:ascii="Arial" w:hAnsi="Arial" w:cs="Arial"/>
          <w:b/>
          <w:sz w:val="25"/>
          <w:szCs w:val="25"/>
        </w:rPr>
        <w:t>atrimonio básico (denominador)</w:t>
      </w:r>
      <w:r w:rsidR="008802DD" w:rsidRPr="006A4C3D">
        <w:rPr>
          <w:rFonts w:ascii="Arial" w:hAnsi="Arial" w:cs="Arial"/>
          <w:sz w:val="25"/>
          <w:szCs w:val="25"/>
        </w:rPr>
        <w:t xml:space="preserve">. Se tomará </w:t>
      </w:r>
      <w:r w:rsidR="00A54C55" w:rsidRPr="006A4C3D">
        <w:rPr>
          <w:rFonts w:ascii="Arial" w:hAnsi="Arial" w:cs="Arial"/>
          <w:sz w:val="25"/>
          <w:szCs w:val="25"/>
        </w:rPr>
        <w:t>el valor que resulte de la suma entre el valor reportado en el Formato 239, Unidad de Captura 14, Columna 5, Subcuenta 005, correspondiente al concepto Patrimonio Básico Ordinario Neto de Deducciones (PBO) y el valor reportado en el Formato 239, Unidad de Captura 14, Columna 5, Subcuenta 010, correspondiente al concepto Patrimonio Básico Adicional (PBA).</w:t>
      </w:r>
    </w:p>
    <w:p w14:paraId="400CB67D" w14:textId="77777777" w:rsidR="008802DD" w:rsidRPr="008802DD" w:rsidRDefault="008802DD" w:rsidP="00641E69">
      <w:pPr>
        <w:pStyle w:val="Prrafodelista"/>
        <w:spacing w:after="0" w:line="240" w:lineRule="auto"/>
        <w:rPr>
          <w:rFonts w:ascii="Arial" w:hAnsi="Arial" w:cs="Arial"/>
          <w:sz w:val="25"/>
          <w:szCs w:val="25"/>
        </w:rPr>
      </w:pPr>
    </w:p>
    <w:p w14:paraId="1981AFEA" w14:textId="77777777" w:rsidR="006A4C3D" w:rsidRDefault="002B1241" w:rsidP="006A4C3D">
      <w:pPr>
        <w:pStyle w:val="Textoindependiente"/>
        <w:numPr>
          <w:ilvl w:val="1"/>
          <w:numId w:val="5"/>
        </w:numPr>
        <w:suppressAutoHyphens/>
        <w:rPr>
          <w:rFonts w:cs="Arial"/>
          <w:b/>
          <w:sz w:val="25"/>
          <w:szCs w:val="25"/>
        </w:rPr>
      </w:pPr>
      <w:r>
        <w:rPr>
          <w:rFonts w:cs="Arial"/>
          <w:b/>
          <w:sz w:val="25"/>
          <w:szCs w:val="25"/>
        </w:rPr>
        <w:t xml:space="preserve"> </w:t>
      </w:r>
      <w:r w:rsidRPr="008802DD">
        <w:rPr>
          <w:rFonts w:cs="Arial"/>
          <w:b/>
          <w:sz w:val="25"/>
          <w:szCs w:val="25"/>
        </w:rPr>
        <w:t>Gestión</w:t>
      </w:r>
    </w:p>
    <w:p w14:paraId="4545A774" w14:textId="77777777" w:rsidR="006A4C3D" w:rsidRDefault="006A4C3D" w:rsidP="006A4C3D">
      <w:pPr>
        <w:pStyle w:val="Textoindependiente"/>
        <w:suppressAutoHyphens/>
        <w:rPr>
          <w:rFonts w:cs="Arial"/>
          <w:b/>
          <w:sz w:val="25"/>
          <w:szCs w:val="25"/>
        </w:rPr>
      </w:pPr>
    </w:p>
    <w:p w14:paraId="2F16EFA9" w14:textId="77777777" w:rsidR="006A4C3D" w:rsidRDefault="008802DD" w:rsidP="006A4C3D">
      <w:pPr>
        <w:pStyle w:val="Textoindependiente"/>
        <w:suppressAutoHyphens/>
        <w:ind w:left="708"/>
        <w:rPr>
          <w:rFonts w:cs="Arial"/>
          <w:b/>
          <w:sz w:val="25"/>
          <w:szCs w:val="25"/>
        </w:rPr>
      </w:pPr>
      <w:r w:rsidRPr="006A4C3D">
        <w:rPr>
          <w:rFonts w:cs="Arial"/>
          <w:b/>
          <w:sz w:val="25"/>
          <w:szCs w:val="25"/>
        </w:rPr>
        <w:t>4.3.</w:t>
      </w:r>
      <w:r w:rsidR="00B56C0A" w:rsidRPr="006A4C3D">
        <w:rPr>
          <w:rFonts w:cs="Arial"/>
          <w:b/>
          <w:sz w:val="25"/>
          <w:szCs w:val="25"/>
        </w:rPr>
        <w:t>1</w:t>
      </w:r>
      <w:r w:rsidRPr="006A4C3D">
        <w:rPr>
          <w:rFonts w:cs="Arial"/>
          <w:b/>
          <w:sz w:val="25"/>
          <w:szCs w:val="25"/>
        </w:rPr>
        <w:t xml:space="preserve"> </w:t>
      </w:r>
      <w:r w:rsidR="006D0885" w:rsidRPr="006A4C3D">
        <w:rPr>
          <w:rFonts w:cs="Arial"/>
          <w:b/>
          <w:sz w:val="25"/>
          <w:szCs w:val="25"/>
        </w:rPr>
        <w:t>Ingresos operacionales / Gastos operacionales</w:t>
      </w:r>
    </w:p>
    <w:p w14:paraId="580EB263" w14:textId="77777777" w:rsidR="006A4C3D" w:rsidRDefault="006A4C3D" w:rsidP="006A4C3D">
      <w:pPr>
        <w:pStyle w:val="Textoindependiente"/>
        <w:suppressAutoHyphens/>
        <w:ind w:left="708"/>
        <w:rPr>
          <w:rFonts w:cs="Arial"/>
          <w:b/>
          <w:sz w:val="25"/>
          <w:szCs w:val="25"/>
        </w:rPr>
      </w:pPr>
    </w:p>
    <w:p w14:paraId="00A569B1" w14:textId="77777777" w:rsidR="006A4C3D" w:rsidRDefault="006D0885" w:rsidP="006A4C3D">
      <w:pPr>
        <w:pStyle w:val="Textoindependiente"/>
        <w:suppressAutoHyphens/>
        <w:ind w:left="708"/>
        <w:rPr>
          <w:rStyle w:val="nfasis"/>
          <w:rFonts w:cs="Arial"/>
          <w:bCs/>
          <w:i w:val="0"/>
          <w:iCs w:val="0"/>
          <w:sz w:val="25"/>
          <w:szCs w:val="25"/>
          <w:shd w:val="clear" w:color="auto" w:fill="FFFFFF"/>
        </w:rPr>
      </w:pPr>
      <w:r w:rsidRPr="008802DD">
        <w:rPr>
          <w:rFonts w:cs="Arial"/>
          <w:sz w:val="25"/>
          <w:szCs w:val="25"/>
        </w:rPr>
        <w:t>Este indicador incluye los siguientes rubros del C</w:t>
      </w:r>
      <w:r w:rsidRPr="008802DD">
        <w:rPr>
          <w:rStyle w:val="nfasis"/>
          <w:rFonts w:cs="Arial"/>
          <w:bCs/>
          <w:i w:val="0"/>
          <w:iCs w:val="0"/>
          <w:sz w:val="25"/>
          <w:szCs w:val="25"/>
          <w:shd w:val="clear" w:color="auto" w:fill="FFFFFF"/>
        </w:rPr>
        <w:t>atálogo Único de</w:t>
      </w:r>
      <w:r w:rsidRPr="008802DD">
        <w:rPr>
          <w:rStyle w:val="apple-converted-space"/>
          <w:rFonts w:cs="Arial"/>
          <w:sz w:val="25"/>
          <w:szCs w:val="25"/>
          <w:shd w:val="clear" w:color="auto" w:fill="FFFFFF"/>
        </w:rPr>
        <w:t> </w:t>
      </w:r>
      <w:r w:rsidRPr="008802DD">
        <w:rPr>
          <w:rFonts w:cs="Arial"/>
          <w:sz w:val="25"/>
          <w:szCs w:val="25"/>
          <w:shd w:val="clear" w:color="auto" w:fill="FFFFFF"/>
        </w:rPr>
        <w:t>Información Financiera con fines de</w:t>
      </w:r>
      <w:r w:rsidRPr="008802DD">
        <w:rPr>
          <w:rStyle w:val="apple-converted-space"/>
          <w:rFonts w:cs="Arial"/>
          <w:sz w:val="25"/>
          <w:szCs w:val="25"/>
          <w:shd w:val="clear" w:color="auto" w:fill="FFFFFF"/>
        </w:rPr>
        <w:t> </w:t>
      </w:r>
      <w:r w:rsidRPr="008802DD">
        <w:rPr>
          <w:rStyle w:val="nfasis"/>
          <w:rFonts w:cs="Arial"/>
          <w:bCs/>
          <w:i w:val="0"/>
          <w:iCs w:val="0"/>
          <w:sz w:val="25"/>
          <w:szCs w:val="25"/>
          <w:shd w:val="clear" w:color="auto" w:fill="FFFFFF"/>
        </w:rPr>
        <w:t>supervisión:</w:t>
      </w:r>
    </w:p>
    <w:p w14:paraId="4133B641" w14:textId="77777777" w:rsidR="006A4C3D" w:rsidRDefault="006A4C3D" w:rsidP="006A4C3D">
      <w:pPr>
        <w:pStyle w:val="Textoindependiente"/>
        <w:suppressAutoHyphens/>
        <w:ind w:left="708"/>
        <w:rPr>
          <w:rStyle w:val="nfasis"/>
          <w:rFonts w:cs="Arial"/>
          <w:bCs/>
          <w:i w:val="0"/>
          <w:iCs w:val="0"/>
          <w:sz w:val="25"/>
          <w:szCs w:val="25"/>
          <w:shd w:val="clear" w:color="auto" w:fill="FFFFFF"/>
        </w:rPr>
      </w:pPr>
    </w:p>
    <w:p w14:paraId="08F2161E" w14:textId="77777777" w:rsidR="006A4C3D" w:rsidRDefault="006D0885" w:rsidP="006A4C3D">
      <w:pPr>
        <w:pStyle w:val="Textoindependiente"/>
        <w:suppressAutoHyphens/>
        <w:ind w:left="708"/>
        <w:rPr>
          <w:rFonts w:cs="Arial"/>
          <w:bCs/>
          <w:sz w:val="25"/>
          <w:szCs w:val="25"/>
        </w:rPr>
      </w:pPr>
      <w:r w:rsidRPr="00B501CB">
        <w:rPr>
          <w:rFonts w:cs="Arial"/>
          <w:b/>
          <w:sz w:val="25"/>
          <w:szCs w:val="25"/>
        </w:rPr>
        <w:t>Ingresos operacionales</w:t>
      </w:r>
      <w:r>
        <w:rPr>
          <w:rFonts w:cs="Arial"/>
          <w:b/>
          <w:sz w:val="25"/>
          <w:szCs w:val="25"/>
        </w:rPr>
        <w:t xml:space="preserve"> (numerador)</w:t>
      </w:r>
      <w:r w:rsidRPr="00B501CB">
        <w:rPr>
          <w:rFonts w:cs="Arial"/>
          <w:b/>
          <w:sz w:val="25"/>
          <w:szCs w:val="25"/>
        </w:rPr>
        <w:t>:</w:t>
      </w:r>
      <w:r>
        <w:rPr>
          <w:rFonts w:cs="Arial"/>
          <w:b/>
          <w:sz w:val="25"/>
          <w:szCs w:val="25"/>
        </w:rPr>
        <w:t xml:space="preserve"> </w:t>
      </w:r>
      <w:r w:rsidRPr="00B501CB">
        <w:rPr>
          <w:rFonts w:cs="Arial"/>
          <w:bCs/>
          <w:sz w:val="25"/>
          <w:szCs w:val="25"/>
        </w:rPr>
        <w:t>410000</w:t>
      </w:r>
    </w:p>
    <w:p w14:paraId="7039515F" w14:textId="77777777" w:rsidR="006A4C3D" w:rsidRDefault="006D0885" w:rsidP="006A4C3D">
      <w:pPr>
        <w:pStyle w:val="Textoindependiente"/>
        <w:suppressAutoHyphens/>
        <w:ind w:left="708"/>
        <w:rPr>
          <w:rFonts w:cs="Arial"/>
          <w:bCs/>
          <w:sz w:val="25"/>
          <w:szCs w:val="25"/>
        </w:rPr>
      </w:pPr>
      <w:r w:rsidRPr="006A4C3D">
        <w:rPr>
          <w:rFonts w:cs="Arial"/>
          <w:b/>
          <w:sz w:val="25"/>
          <w:szCs w:val="25"/>
        </w:rPr>
        <w:t xml:space="preserve">Gastos operacionales(denominador):  </w:t>
      </w:r>
      <w:r w:rsidRPr="006A4C3D">
        <w:rPr>
          <w:rFonts w:cs="Arial"/>
          <w:bCs/>
          <w:sz w:val="25"/>
          <w:szCs w:val="25"/>
        </w:rPr>
        <w:t>510000</w:t>
      </w:r>
    </w:p>
    <w:p w14:paraId="5C04D741" w14:textId="77777777" w:rsidR="006A4C3D" w:rsidRDefault="006A4C3D" w:rsidP="006A4C3D">
      <w:pPr>
        <w:pStyle w:val="Textoindependiente"/>
        <w:suppressAutoHyphens/>
        <w:ind w:left="708"/>
        <w:rPr>
          <w:rFonts w:cs="Arial"/>
          <w:bCs/>
          <w:sz w:val="25"/>
          <w:szCs w:val="25"/>
        </w:rPr>
      </w:pPr>
    </w:p>
    <w:p w14:paraId="0DCA03E7" w14:textId="77777777" w:rsidR="006A4C3D" w:rsidRDefault="001A7441" w:rsidP="006A4C3D">
      <w:pPr>
        <w:pStyle w:val="Textoindependiente"/>
        <w:suppressAutoHyphens/>
        <w:ind w:left="708"/>
        <w:rPr>
          <w:rFonts w:cs="Arial"/>
          <w:b/>
          <w:sz w:val="25"/>
          <w:szCs w:val="25"/>
        </w:rPr>
      </w:pPr>
      <w:r w:rsidRPr="008802DD">
        <w:rPr>
          <w:rFonts w:cs="Arial"/>
          <w:b/>
          <w:sz w:val="25"/>
          <w:szCs w:val="25"/>
        </w:rPr>
        <w:t>4.3.</w:t>
      </w:r>
      <w:r w:rsidR="00B56C0A">
        <w:rPr>
          <w:rFonts w:cs="Arial"/>
          <w:b/>
          <w:sz w:val="25"/>
          <w:szCs w:val="25"/>
        </w:rPr>
        <w:t>2</w:t>
      </w:r>
      <w:r w:rsidRPr="008802DD">
        <w:rPr>
          <w:rFonts w:cs="Arial"/>
          <w:b/>
          <w:sz w:val="25"/>
          <w:szCs w:val="25"/>
        </w:rPr>
        <w:t xml:space="preserve"> </w:t>
      </w:r>
      <w:r w:rsidR="006D0885">
        <w:rPr>
          <w:rFonts w:cs="Arial"/>
          <w:b/>
          <w:sz w:val="25"/>
          <w:szCs w:val="25"/>
        </w:rPr>
        <w:t>Gastos administrativos</w:t>
      </w:r>
      <w:r w:rsidRPr="00ED20E6">
        <w:rPr>
          <w:rFonts w:cs="Arial"/>
          <w:b/>
          <w:sz w:val="25"/>
          <w:szCs w:val="25"/>
        </w:rPr>
        <w:t xml:space="preserve"> / Margen financiero bruto</w:t>
      </w:r>
    </w:p>
    <w:p w14:paraId="3802E6E5" w14:textId="77777777" w:rsidR="006A4C3D" w:rsidRDefault="006A4C3D" w:rsidP="006A4C3D">
      <w:pPr>
        <w:pStyle w:val="Textoindependiente"/>
        <w:suppressAutoHyphens/>
        <w:ind w:left="708"/>
        <w:rPr>
          <w:rFonts w:cs="Arial"/>
          <w:b/>
          <w:sz w:val="25"/>
          <w:szCs w:val="25"/>
        </w:rPr>
      </w:pPr>
    </w:p>
    <w:p w14:paraId="529A3883" w14:textId="77777777" w:rsidR="006A4C3D" w:rsidRDefault="001A7441" w:rsidP="006A4C3D">
      <w:pPr>
        <w:pStyle w:val="Textoindependiente"/>
        <w:suppressAutoHyphens/>
        <w:ind w:left="708"/>
        <w:rPr>
          <w:rStyle w:val="nfasis"/>
          <w:rFonts w:cs="Arial"/>
          <w:bCs/>
          <w:i w:val="0"/>
          <w:iCs w:val="0"/>
          <w:sz w:val="25"/>
          <w:szCs w:val="25"/>
          <w:shd w:val="clear" w:color="auto" w:fill="FFFFFF"/>
        </w:rPr>
      </w:pPr>
      <w:r w:rsidRPr="006A4C3D">
        <w:rPr>
          <w:rFonts w:cs="Arial"/>
          <w:sz w:val="25"/>
          <w:szCs w:val="25"/>
        </w:rPr>
        <w:t>Este indicador incluye los siguientes rubros del C</w:t>
      </w:r>
      <w:r w:rsidRPr="006A4C3D">
        <w:rPr>
          <w:rStyle w:val="nfasis"/>
          <w:rFonts w:cs="Arial"/>
          <w:bCs/>
          <w:i w:val="0"/>
          <w:iCs w:val="0"/>
          <w:sz w:val="25"/>
          <w:szCs w:val="25"/>
          <w:shd w:val="clear" w:color="auto" w:fill="FFFFFF"/>
        </w:rPr>
        <w:t>atálogo Único de</w:t>
      </w:r>
      <w:r w:rsidRPr="006A4C3D">
        <w:rPr>
          <w:rStyle w:val="apple-converted-space"/>
          <w:rFonts w:cs="Arial"/>
          <w:sz w:val="25"/>
          <w:szCs w:val="25"/>
          <w:shd w:val="clear" w:color="auto" w:fill="FFFFFF"/>
        </w:rPr>
        <w:t> </w:t>
      </w:r>
      <w:r w:rsidRPr="006A4C3D">
        <w:rPr>
          <w:rFonts w:cs="Arial"/>
          <w:sz w:val="25"/>
          <w:szCs w:val="25"/>
          <w:shd w:val="clear" w:color="auto" w:fill="FFFFFF"/>
        </w:rPr>
        <w:t>Información Financiera con fines de</w:t>
      </w:r>
      <w:r w:rsidRPr="006A4C3D">
        <w:rPr>
          <w:rStyle w:val="apple-converted-space"/>
          <w:rFonts w:cs="Arial"/>
          <w:sz w:val="25"/>
          <w:szCs w:val="25"/>
          <w:shd w:val="clear" w:color="auto" w:fill="FFFFFF"/>
        </w:rPr>
        <w:t> </w:t>
      </w:r>
      <w:r w:rsidRPr="006A4C3D">
        <w:rPr>
          <w:rStyle w:val="nfasis"/>
          <w:rFonts w:cs="Arial"/>
          <w:bCs/>
          <w:i w:val="0"/>
          <w:iCs w:val="0"/>
          <w:sz w:val="25"/>
          <w:szCs w:val="25"/>
          <w:shd w:val="clear" w:color="auto" w:fill="FFFFFF"/>
        </w:rPr>
        <w:t>supervisión:</w:t>
      </w:r>
    </w:p>
    <w:p w14:paraId="4A994698" w14:textId="77777777" w:rsidR="006A4C3D" w:rsidRDefault="006A4C3D" w:rsidP="006A4C3D">
      <w:pPr>
        <w:pStyle w:val="Textoindependiente"/>
        <w:suppressAutoHyphens/>
        <w:ind w:left="708"/>
        <w:rPr>
          <w:rStyle w:val="nfasis"/>
          <w:rFonts w:cs="Arial"/>
          <w:bCs/>
          <w:i w:val="0"/>
          <w:iCs w:val="0"/>
          <w:sz w:val="25"/>
          <w:szCs w:val="25"/>
          <w:shd w:val="clear" w:color="auto" w:fill="FFFFFF"/>
        </w:rPr>
      </w:pPr>
    </w:p>
    <w:p w14:paraId="5D718D24" w14:textId="77777777" w:rsidR="006A4C3D" w:rsidRDefault="006D0885" w:rsidP="006A4C3D">
      <w:pPr>
        <w:pStyle w:val="Textoindependiente"/>
        <w:suppressAutoHyphens/>
        <w:ind w:left="708"/>
        <w:rPr>
          <w:rFonts w:cs="Arial"/>
          <w:sz w:val="25"/>
          <w:szCs w:val="25"/>
        </w:rPr>
      </w:pPr>
      <w:r w:rsidRPr="006A4C3D">
        <w:rPr>
          <w:rFonts w:cs="Arial"/>
          <w:b/>
          <w:bCs/>
          <w:sz w:val="25"/>
          <w:szCs w:val="25"/>
        </w:rPr>
        <w:t>Gastos administrativos (numerador)</w:t>
      </w:r>
      <w:r w:rsidRPr="006A4C3D">
        <w:rPr>
          <w:rFonts w:cs="Arial"/>
          <w:sz w:val="25"/>
          <w:szCs w:val="25"/>
        </w:rPr>
        <w:t>: 511500 + 511300 + 511400 + 511800 +512000 + 512200 + 513000 + 513300 + 514000 +514500+515000+515500+516000+516400+516500+519000</w:t>
      </w:r>
    </w:p>
    <w:p w14:paraId="0C9B802B" w14:textId="77777777" w:rsidR="006A4C3D" w:rsidRDefault="006A4C3D" w:rsidP="006A4C3D">
      <w:pPr>
        <w:pStyle w:val="Textoindependiente"/>
        <w:suppressAutoHyphens/>
        <w:ind w:left="708"/>
        <w:rPr>
          <w:rFonts w:cs="Arial"/>
          <w:sz w:val="25"/>
          <w:szCs w:val="25"/>
        </w:rPr>
      </w:pPr>
    </w:p>
    <w:p w14:paraId="5A68AC8B" w14:textId="77777777" w:rsidR="006A4C3D" w:rsidRDefault="001A7441" w:rsidP="006A4C3D">
      <w:pPr>
        <w:pStyle w:val="Textoindependiente"/>
        <w:suppressAutoHyphens/>
        <w:ind w:left="708"/>
        <w:rPr>
          <w:rFonts w:cs="Arial"/>
          <w:sz w:val="25"/>
          <w:szCs w:val="25"/>
        </w:rPr>
      </w:pPr>
      <w:r w:rsidRPr="00B501CB">
        <w:rPr>
          <w:rFonts w:cs="Arial"/>
          <w:b/>
          <w:sz w:val="25"/>
          <w:szCs w:val="25"/>
        </w:rPr>
        <w:t xml:space="preserve">Margen Financiero Bruto (denominador). </w:t>
      </w:r>
      <w:r w:rsidRPr="00B501CB">
        <w:rPr>
          <w:rFonts w:cs="Arial"/>
          <w:sz w:val="25"/>
          <w:szCs w:val="25"/>
        </w:rPr>
        <w:t>(410202 + 410204 + 410206 + 410208 + 410210 + 410212 + 410214 + 410216 + 410218 + 410220 + 410222 + 410224 + 410228 + 410230 + 410232 + 410234 + 410236 + 410238 + 410240 + 410242 + 410244 + 410305 + 410375 + 410385 + 410395 + 411005 + 411010 + 411015 + 411405 + 419625 + 419630 + 419635 + 419640) – (510205 + 510210 + 510215 + 510220 + 510225 + 510230 + 510295 + 510297 + 510305 + 510315 + 510320 + 510325 + 510397 + 510405 + 510415 + 510420 + 510425 + 510440 + 510445 + 510450 + 510475 + 510495 + 511005 + 511010 + 511015 + 511020 + 511025 + 511035) + (410315 + 410600 + 410700 + 410800 + 410900 + 411100 + 411200 + 411410 + 411500 + 411700 + 412300 + 412500 + 412700 + 412800 + 412900 + 413500 + 413900 + 414000 + 414500 + 417200 + 419500 + 419605 + 419620) – (510600 + 510700 + 510800 + 511200 + 511500 + 511700 + 512300 + 512500 + 512700 + 512800 + 512900 + 513500 + 513900</w:t>
      </w:r>
      <w:r w:rsidR="00216B4C" w:rsidRPr="00B501CB">
        <w:rPr>
          <w:rFonts w:cs="Arial"/>
          <w:sz w:val="25"/>
          <w:szCs w:val="25"/>
        </w:rPr>
        <w:t>)</w:t>
      </w:r>
    </w:p>
    <w:p w14:paraId="0EF2E44B" w14:textId="77777777" w:rsidR="006A4C3D" w:rsidRDefault="006A4C3D" w:rsidP="006A4C3D">
      <w:pPr>
        <w:pStyle w:val="Textoindependiente"/>
        <w:suppressAutoHyphens/>
        <w:ind w:left="708"/>
        <w:rPr>
          <w:rFonts w:cs="Arial"/>
          <w:sz w:val="25"/>
          <w:szCs w:val="25"/>
        </w:rPr>
      </w:pPr>
    </w:p>
    <w:p w14:paraId="15D78E1F" w14:textId="77777777" w:rsidR="006A4C3D" w:rsidRDefault="0074498B" w:rsidP="006A4C3D">
      <w:pPr>
        <w:pStyle w:val="Textoindependiente"/>
        <w:suppressAutoHyphens/>
        <w:ind w:left="708"/>
        <w:rPr>
          <w:rFonts w:cs="Arial"/>
          <w:sz w:val="25"/>
          <w:szCs w:val="25"/>
        </w:rPr>
      </w:pPr>
      <w:r>
        <w:rPr>
          <w:rFonts w:cs="Arial"/>
          <w:sz w:val="25"/>
          <w:szCs w:val="25"/>
        </w:rPr>
        <w:t xml:space="preserve">Cuando el Margen Financiero Bruto sea menor a cero, la calificación del indicador será igual 1. </w:t>
      </w:r>
    </w:p>
    <w:p w14:paraId="3F279F81" w14:textId="77777777" w:rsidR="006A4C3D" w:rsidRDefault="006A4C3D" w:rsidP="006A4C3D">
      <w:pPr>
        <w:pStyle w:val="Textoindependiente"/>
        <w:suppressAutoHyphens/>
        <w:ind w:left="708"/>
        <w:rPr>
          <w:rFonts w:cs="Arial"/>
          <w:sz w:val="25"/>
          <w:szCs w:val="25"/>
        </w:rPr>
      </w:pPr>
    </w:p>
    <w:p w14:paraId="72942893" w14:textId="77777777" w:rsidR="006A4C3D" w:rsidRDefault="001A7441" w:rsidP="006A4C3D">
      <w:pPr>
        <w:pStyle w:val="Textoindependiente"/>
        <w:suppressAutoHyphens/>
        <w:ind w:left="708"/>
        <w:rPr>
          <w:rFonts w:cs="Arial"/>
          <w:b/>
          <w:sz w:val="25"/>
          <w:szCs w:val="25"/>
        </w:rPr>
      </w:pPr>
      <w:r w:rsidRPr="006A4C3D">
        <w:rPr>
          <w:rFonts w:cs="Arial"/>
          <w:b/>
          <w:sz w:val="25"/>
          <w:szCs w:val="25"/>
        </w:rPr>
        <w:lastRenderedPageBreak/>
        <w:t>4.3.3 Calificación componente Auditoría Interna del Marco Integral de Supervisión</w:t>
      </w:r>
    </w:p>
    <w:p w14:paraId="59CE7E89" w14:textId="77777777" w:rsidR="006A4C3D" w:rsidRDefault="006A4C3D" w:rsidP="006A4C3D">
      <w:pPr>
        <w:pStyle w:val="Textoindependiente"/>
        <w:suppressAutoHyphens/>
        <w:ind w:left="708"/>
        <w:rPr>
          <w:rFonts w:cs="Arial"/>
          <w:b/>
          <w:sz w:val="25"/>
          <w:szCs w:val="25"/>
        </w:rPr>
      </w:pPr>
    </w:p>
    <w:p w14:paraId="1085F4AC" w14:textId="38E58FE8" w:rsidR="001A7441" w:rsidRPr="006A4C3D" w:rsidRDefault="001A7441" w:rsidP="006A4C3D">
      <w:pPr>
        <w:pStyle w:val="Textoindependiente"/>
        <w:suppressAutoHyphens/>
        <w:ind w:left="708"/>
        <w:rPr>
          <w:rFonts w:cs="Arial"/>
          <w:bCs/>
          <w:sz w:val="25"/>
          <w:szCs w:val="25"/>
          <w:shd w:val="clear" w:color="auto" w:fill="FFFFFF"/>
        </w:rPr>
      </w:pPr>
      <w:r w:rsidRPr="006A4C3D">
        <w:rPr>
          <w:rFonts w:cs="Arial"/>
          <w:sz w:val="25"/>
          <w:szCs w:val="25"/>
        </w:rPr>
        <w:t xml:space="preserve">Este indicador toma el último valor </w:t>
      </w:r>
      <w:r w:rsidR="0021187B" w:rsidRPr="006A4C3D">
        <w:rPr>
          <w:rFonts w:cs="Arial"/>
          <w:sz w:val="25"/>
          <w:szCs w:val="25"/>
        </w:rPr>
        <w:t xml:space="preserve">disponible </w:t>
      </w:r>
      <w:r w:rsidRPr="006A4C3D">
        <w:rPr>
          <w:rFonts w:cs="Arial"/>
          <w:sz w:val="25"/>
          <w:szCs w:val="25"/>
        </w:rPr>
        <w:t xml:space="preserve">que la Superintendencia Financiera de Colombia </w:t>
      </w:r>
      <w:r w:rsidR="0021187B" w:rsidRPr="006A4C3D">
        <w:rPr>
          <w:rFonts w:cs="Arial"/>
          <w:sz w:val="25"/>
          <w:szCs w:val="25"/>
        </w:rPr>
        <w:t>le haya asignado</w:t>
      </w:r>
      <w:r w:rsidRPr="006A4C3D">
        <w:rPr>
          <w:rFonts w:cs="Arial"/>
          <w:sz w:val="25"/>
          <w:szCs w:val="25"/>
        </w:rPr>
        <w:t xml:space="preserve"> al componente de Auditoría Interna de la matriz de riesgo del Marco Integral de Supervisión.</w:t>
      </w:r>
    </w:p>
    <w:p w14:paraId="72779D4F" w14:textId="3EA0BD89" w:rsidR="008802DD" w:rsidRPr="008802DD" w:rsidRDefault="008802DD" w:rsidP="00641E69">
      <w:pPr>
        <w:pStyle w:val="Prrafodelista"/>
        <w:spacing w:after="0" w:line="240" w:lineRule="auto"/>
        <w:ind w:left="831"/>
        <w:jc w:val="both"/>
        <w:rPr>
          <w:rFonts w:ascii="Arial" w:hAnsi="Arial" w:cs="Arial"/>
          <w:sz w:val="25"/>
          <w:szCs w:val="25"/>
        </w:rPr>
      </w:pPr>
      <w:r w:rsidRPr="008802DD">
        <w:rPr>
          <w:rFonts w:ascii="Arial" w:hAnsi="Arial" w:cs="Arial"/>
          <w:b/>
          <w:sz w:val="25"/>
          <w:szCs w:val="25"/>
        </w:rPr>
        <w:t xml:space="preserve"> </w:t>
      </w:r>
    </w:p>
    <w:p w14:paraId="71DADD0D" w14:textId="77777777" w:rsidR="008802DD" w:rsidRPr="008802DD" w:rsidRDefault="007D7E9F" w:rsidP="00641E69">
      <w:pPr>
        <w:pStyle w:val="Textoindependiente"/>
        <w:numPr>
          <w:ilvl w:val="1"/>
          <w:numId w:val="5"/>
        </w:numPr>
        <w:suppressAutoHyphens/>
        <w:rPr>
          <w:rFonts w:cs="Arial"/>
          <w:b/>
          <w:sz w:val="25"/>
          <w:szCs w:val="25"/>
        </w:rPr>
      </w:pPr>
      <w:r w:rsidRPr="008802DD">
        <w:rPr>
          <w:rFonts w:cs="Arial"/>
          <w:b/>
          <w:sz w:val="25"/>
          <w:szCs w:val="25"/>
        </w:rPr>
        <w:t>Rentabilidad</w:t>
      </w:r>
    </w:p>
    <w:p w14:paraId="78F3B77B" w14:textId="77777777" w:rsidR="006A4C3D" w:rsidRDefault="006A4C3D" w:rsidP="006A4C3D">
      <w:pPr>
        <w:jc w:val="both"/>
        <w:rPr>
          <w:rFonts w:ascii="Arial" w:hAnsi="Arial" w:cs="Arial"/>
          <w:b/>
          <w:sz w:val="25"/>
          <w:szCs w:val="25"/>
        </w:rPr>
      </w:pPr>
    </w:p>
    <w:p w14:paraId="347DB499" w14:textId="77777777" w:rsidR="006A4C3D" w:rsidRDefault="008802DD" w:rsidP="006A4C3D">
      <w:pPr>
        <w:ind w:left="708"/>
        <w:jc w:val="both"/>
        <w:rPr>
          <w:rFonts w:ascii="Arial" w:hAnsi="Arial" w:cs="Arial"/>
          <w:b/>
          <w:sz w:val="25"/>
          <w:szCs w:val="25"/>
        </w:rPr>
      </w:pPr>
      <w:r w:rsidRPr="006A4C3D">
        <w:rPr>
          <w:rFonts w:ascii="Arial" w:hAnsi="Arial" w:cs="Arial"/>
          <w:b/>
          <w:sz w:val="25"/>
          <w:szCs w:val="25"/>
        </w:rPr>
        <w:t>4.</w:t>
      </w:r>
      <w:r w:rsidR="009000A1" w:rsidRPr="006A4C3D">
        <w:rPr>
          <w:rFonts w:ascii="Arial" w:hAnsi="Arial" w:cs="Arial"/>
          <w:b/>
          <w:sz w:val="25"/>
          <w:szCs w:val="25"/>
        </w:rPr>
        <w:t>4</w:t>
      </w:r>
      <w:r w:rsidRPr="006A4C3D">
        <w:rPr>
          <w:rFonts w:ascii="Arial" w:hAnsi="Arial" w:cs="Arial"/>
          <w:b/>
          <w:sz w:val="25"/>
          <w:szCs w:val="25"/>
        </w:rPr>
        <w:t xml:space="preserve">.1 Utilidad / </w:t>
      </w:r>
      <w:r w:rsidR="00112595" w:rsidRPr="006A4C3D">
        <w:rPr>
          <w:rFonts w:ascii="Arial" w:hAnsi="Arial" w:cs="Arial"/>
          <w:b/>
          <w:sz w:val="25"/>
          <w:szCs w:val="25"/>
        </w:rPr>
        <w:t>Activo</w:t>
      </w:r>
      <w:r w:rsidR="003A4DCB" w:rsidRPr="006A4C3D">
        <w:rPr>
          <w:rFonts w:ascii="Arial" w:hAnsi="Arial" w:cs="Arial"/>
          <w:b/>
          <w:sz w:val="25"/>
          <w:szCs w:val="25"/>
        </w:rPr>
        <w:t>s</w:t>
      </w:r>
      <w:r w:rsidRPr="006A4C3D">
        <w:rPr>
          <w:rFonts w:ascii="Arial" w:hAnsi="Arial" w:cs="Arial"/>
          <w:b/>
          <w:sz w:val="25"/>
          <w:szCs w:val="25"/>
        </w:rPr>
        <w:t xml:space="preserve"> promedio</w:t>
      </w:r>
    </w:p>
    <w:p w14:paraId="12ECD192" w14:textId="77777777" w:rsidR="006A4C3D" w:rsidRDefault="006A4C3D" w:rsidP="006A4C3D">
      <w:pPr>
        <w:ind w:left="708"/>
        <w:jc w:val="both"/>
        <w:rPr>
          <w:rFonts w:ascii="Arial" w:hAnsi="Arial" w:cs="Arial"/>
          <w:b/>
          <w:sz w:val="25"/>
          <w:szCs w:val="25"/>
        </w:rPr>
      </w:pPr>
    </w:p>
    <w:p w14:paraId="00B8AD17" w14:textId="77777777" w:rsidR="006A4C3D" w:rsidRDefault="008802DD" w:rsidP="006A4C3D">
      <w:pPr>
        <w:ind w:left="708"/>
        <w:jc w:val="both"/>
        <w:rPr>
          <w:rFonts w:ascii="Arial" w:hAnsi="Arial" w:cs="Arial"/>
          <w:b/>
          <w:sz w:val="25"/>
          <w:szCs w:val="25"/>
        </w:rPr>
      </w:pPr>
      <w:r w:rsidRPr="006A4C3D">
        <w:rPr>
          <w:rFonts w:ascii="Arial" w:hAnsi="Arial" w:cs="Arial"/>
          <w:sz w:val="25"/>
          <w:szCs w:val="25"/>
        </w:rPr>
        <w:t>Este indicador incluye los siguientes rubros del C</w:t>
      </w:r>
      <w:r w:rsidRPr="006A4C3D">
        <w:rPr>
          <w:rStyle w:val="nfasis"/>
          <w:rFonts w:ascii="Arial" w:hAnsi="Arial" w:cs="Arial"/>
          <w:bCs/>
          <w:i w:val="0"/>
          <w:iCs w:val="0"/>
          <w:sz w:val="25"/>
          <w:szCs w:val="25"/>
          <w:shd w:val="clear" w:color="auto" w:fill="FFFFFF"/>
        </w:rPr>
        <w:t>atálogo Único de</w:t>
      </w:r>
      <w:r w:rsidRPr="006A4C3D">
        <w:rPr>
          <w:rStyle w:val="apple-converted-space"/>
          <w:rFonts w:ascii="Arial" w:hAnsi="Arial" w:cs="Arial"/>
          <w:sz w:val="25"/>
          <w:szCs w:val="25"/>
          <w:shd w:val="clear" w:color="auto" w:fill="FFFFFF"/>
        </w:rPr>
        <w:t> </w:t>
      </w:r>
      <w:r w:rsidRPr="006A4C3D">
        <w:rPr>
          <w:rFonts w:ascii="Arial" w:hAnsi="Arial" w:cs="Arial"/>
          <w:sz w:val="25"/>
          <w:szCs w:val="25"/>
          <w:shd w:val="clear" w:color="auto" w:fill="FFFFFF"/>
        </w:rPr>
        <w:t>Información Financiera con fines de</w:t>
      </w:r>
      <w:r w:rsidRPr="006A4C3D">
        <w:rPr>
          <w:rStyle w:val="apple-converted-space"/>
          <w:rFonts w:ascii="Arial" w:hAnsi="Arial" w:cs="Arial"/>
          <w:sz w:val="25"/>
          <w:szCs w:val="25"/>
          <w:shd w:val="clear" w:color="auto" w:fill="FFFFFF"/>
        </w:rPr>
        <w:t> </w:t>
      </w:r>
      <w:r w:rsidRPr="006A4C3D">
        <w:rPr>
          <w:rStyle w:val="nfasis"/>
          <w:rFonts w:ascii="Arial" w:hAnsi="Arial" w:cs="Arial"/>
          <w:bCs/>
          <w:i w:val="0"/>
          <w:iCs w:val="0"/>
          <w:sz w:val="25"/>
          <w:szCs w:val="25"/>
          <w:shd w:val="clear" w:color="auto" w:fill="FFFFFF"/>
        </w:rPr>
        <w:t>supervisión:</w:t>
      </w:r>
    </w:p>
    <w:p w14:paraId="4FF0B22F" w14:textId="77777777" w:rsidR="006A4C3D" w:rsidRDefault="006A4C3D" w:rsidP="006A4C3D">
      <w:pPr>
        <w:ind w:left="708"/>
        <w:jc w:val="both"/>
        <w:rPr>
          <w:rFonts w:ascii="Arial" w:hAnsi="Arial" w:cs="Arial"/>
          <w:b/>
          <w:sz w:val="25"/>
          <w:szCs w:val="25"/>
        </w:rPr>
      </w:pPr>
    </w:p>
    <w:p w14:paraId="6CA8F7D8" w14:textId="77777777" w:rsidR="006A4C3D" w:rsidRDefault="008802DD" w:rsidP="006A4C3D">
      <w:pPr>
        <w:ind w:left="708"/>
        <w:jc w:val="both"/>
        <w:rPr>
          <w:rFonts w:ascii="Arial" w:hAnsi="Arial" w:cs="Arial"/>
          <w:b/>
          <w:sz w:val="25"/>
          <w:szCs w:val="25"/>
        </w:rPr>
      </w:pPr>
      <w:r w:rsidRPr="006A4C3D">
        <w:rPr>
          <w:rFonts w:ascii="Arial" w:hAnsi="Arial" w:cs="Arial"/>
          <w:b/>
          <w:sz w:val="25"/>
          <w:szCs w:val="25"/>
        </w:rPr>
        <w:t>Utilidad (numerador)</w:t>
      </w:r>
      <w:r w:rsidRPr="006A4C3D">
        <w:rPr>
          <w:rFonts w:ascii="Arial" w:hAnsi="Arial" w:cs="Arial"/>
          <w:sz w:val="25"/>
          <w:szCs w:val="25"/>
        </w:rPr>
        <w:t>. 590000</w:t>
      </w:r>
    </w:p>
    <w:p w14:paraId="0E80CE79" w14:textId="77777777" w:rsidR="006A4C3D" w:rsidRDefault="006A4C3D" w:rsidP="006A4C3D">
      <w:pPr>
        <w:ind w:left="708"/>
        <w:jc w:val="both"/>
        <w:rPr>
          <w:rFonts w:ascii="Arial" w:hAnsi="Arial" w:cs="Arial"/>
          <w:b/>
          <w:sz w:val="25"/>
          <w:szCs w:val="25"/>
        </w:rPr>
      </w:pPr>
    </w:p>
    <w:p w14:paraId="72C43A95" w14:textId="77777777" w:rsidR="006A4C3D" w:rsidRDefault="00AD6AB3" w:rsidP="006A4C3D">
      <w:pPr>
        <w:ind w:left="708"/>
        <w:jc w:val="both"/>
        <w:rPr>
          <w:rFonts w:ascii="Arial" w:hAnsi="Arial" w:cs="Arial"/>
          <w:b/>
          <w:sz w:val="25"/>
          <w:szCs w:val="25"/>
        </w:rPr>
      </w:pPr>
      <w:r w:rsidRPr="006A4C3D">
        <w:rPr>
          <w:rFonts w:ascii="Arial" w:hAnsi="Arial" w:cs="Arial"/>
          <w:b/>
          <w:sz w:val="25"/>
          <w:szCs w:val="25"/>
        </w:rPr>
        <w:t>Activo</w:t>
      </w:r>
      <w:r w:rsidR="00094064" w:rsidRPr="006A4C3D">
        <w:rPr>
          <w:rFonts w:ascii="Arial" w:hAnsi="Arial" w:cs="Arial"/>
          <w:b/>
          <w:sz w:val="25"/>
          <w:szCs w:val="25"/>
        </w:rPr>
        <w:t xml:space="preserve"> </w:t>
      </w:r>
      <w:r w:rsidR="008802DD" w:rsidRPr="006A4C3D">
        <w:rPr>
          <w:rFonts w:ascii="Arial" w:hAnsi="Arial" w:cs="Arial"/>
          <w:b/>
          <w:sz w:val="25"/>
          <w:szCs w:val="25"/>
        </w:rPr>
        <w:t>promedio (denominador)</w:t>
      </w:r>
      <w:r w:rsidR="008802DD" w:rsidRPr="006A4C3D">
        <w:rPr>
          <w:rFonts w:ascii="Arial" w:hAnsi="Arial" w:cs="Arial"/>
          <w:sz w:val="25"/>
          <w:szCs w:val="25"/>
        </w:rPr>
        <w:t xml:space="preserve">. Está compuesto por el promedio de los últimos doce datos mensuales reportados en la cuenta </w:t>
      </w:r>
      <w:r w:rsidRPr="006A4C3D">
        <w:rPr>
          <w:rFonts w:ascii="Arial" w:hAnsi="Arial" w:cs="Arial"/>
          <w:sz w:val="25"/>
          <w:szCs w:val="25"/>
        </w:rPr>
        <w:t>1</w:t>
      </w:r>
      <w:r w:rsidR="008802DD" w:rsidRPr="006A4C3D">
        <w:rPr>
          <w:rFonts w:ascii="Arial" w:hAnsi="Arial" w:cs="Arial"/>
          <w:sz w:val="25"/>
          <w:szCs w:val="25"/>
        </w:rPr>
        <w:t>00000.</w:t>
      </w:r>
    </w:p>
    <w:p w14:paraId="7325C0D6" w14:textId="77777777" w:rsidR="006A4C3D" w:rsidRDefault="006A4C3D" w:rsidP="006A4C3D">
      <w:pPr>
        <w:ind w:left="708"/>
        <w:jc w:val="both"/>
        <w:rPr>
          <w:rFonts w:ascii="Arial" w:hAnsi="Arial" w:cs="Arial"/>
          <w:b/>
          <w:sz w:val="25"/>
          <w:szCs w:val="25"/>
        </w:rPr>
      </w:pPr>
    </w:p>
    <w:p w14:paraId="00B95A9B" w14:textId="77777777" w:rsidR="006A4C3D" w:rsidRDefault="008802DD" w:rsidP="006A4C3D">
      <w:pPr>
        <w:ind w:left="708"/>
        <w:jc w:val="both"/>
        <w:rPr>
          <w:rFonts w:ascii="Arial" w:hAnsi="Arial" w:cs="Arial"/>
          <w:b/>
          <w:sz w:val="25"/>
          <w:szCs w:val="25"/>
        </w:rPr>
      </w:pPr>
      <w:r w:rsidRPr="006A4C3D">
        <w:rPr>
          <w:rFonts w:ascii="Arial" w:hAnsi="Arial" w:cs="Arial"/>
          <w:b/>
          <w:sz w:val="25"/>
          <w:szCs w:val="25"/>
        </w:rPr>
        <w:t>4.</w:t>
      </w:r>
      <w:r w:rsidR="009000A1" w:rsidRPr="006A4C3D">
        <w:rPr>
          <w:rFonts w:ascii="Arial" w:hAnsi="Arial" w:cs="Arial"/>
          <w:b/>
          <w:sz w:val="25"/>
          <w:szCs w:val="25"/>
        </w:rPr>
        <w:t>4</w:t>
      </w:r>
      <w:r w:rsidRPr="006A4C3D">
        <w:rPr>
          <w:rFonts w:ascii="Arial" w:hAnsi="Arial" w:cs="Arial"/>
          <w:b/>
          <w:sz w:val="25"/>
          <w:szCs w:val="25"/>
        </w:rPr>
        <w:t>.2 Utilidad / Desviación estándar de la utilidad de los últimos 24 meses</w:t>
      </w:r>
    </w:p>
    <w:p w14:paraId="5DCF77A1" w14:textId="77777777" w:rsidR="006A4C3D" w:rsidRDefault="006A4C3D" w:rsidP="006A4C3D">
      <w:pPr>
        <w:ind w:left="708"/>
        <w:jc w:val="both"/>
        <w:rPr>
          <w:rFonts w:ascii="Arial" w:hAnsi="Arial" w:cs="Arial"/>
          <w:b/>
          <w:sz w:val="25"/>
          <w:szCs w:val="25"/>
        </w:rPr>
      </w:pPr>
    </w:p>
    <w:p w14:paraId="4E604DA2" w14:textId="77777777" w:rsidR="006A4C3D" w:rsidRDefault="008802DD" w:rsidP="006A4C3D">
      <w:pPr>
        <w:ind w:left="708"/>
        <w:jc w:val="both"/>
        <w:rPr>
          <w:rFonts w:ascii="Arial" w:hAnsi="Arial" w:cs="Arial"/>
          <w:b/>
          <w:sz w:val="25"/>
          <w:szCs w:val="25"/>
        </w:rPr>
      </w:pPr>
      <w:r w:rsidRPr="006A4C3D">
        <w:rPr>
          <w:rFonts w:ascii="Arial" w:hAnsi="Arial" w:cs="Arial"/>
          <w:sz w:val="25"/>
          <w:szCs w:val="25"/>
        </w:rPr>
        <w:t>Este indicador incluye los siguientes rubros del C</w:t>
      </w:r>
      <w:r w:rsidRPr="006A4C3D">
        <w:rPr>
          <w:rStyle w:val="nfasis"/>
          <w:rFonts w:ascii="Arial" w:hAnsi="Arial" w:cs="Arial"/>
          <w:bCs/>
          <w:i w:val="0"/>
          <w:iCs w:val="0"/>
          <w:sz w:val="25"/>
          <w:szCs w:val="25"/>
          <w:shd w:val="clear" w:color="auto" w:fill="FFFFFF"/>
        </w:rPr>
        <w:t>atálogo Único de</w:t>
      </w:r>
      <w:r w:rsidRPr="006A4C3D">
        <w:rPr>
          <w:rStyle w:val="apple-converted-space"/>
          <w:rFonts w:ascii="Arial" w:hAnsi="Arial" w:cs="Arial"/>
          <w:sz w:val="25"/>
          <w:szCs w:val="25"/>
          <w:shd w:val="clear" w:color="auto" w:fill="FFFFFF"/>
        </w:rPr>
        <w:t> </w:t>
      </w:r>
      <w:r w:rsidRPr="006A4C3D">
        <w:rPr>
          <w:rFonts w:ascii="Arial" w:hAnsi="Arial" w:cs="Arial"/>
          <w:sz w:val="25"/>
          <w:szCs w:val="25"/>
          <w:shd w:val="clear" w:color="auto" w:fill="FFFFFF"/>
        </w:rPr>
        <w:t>Información Financiera con fines de</w:t>
      </w:r>
      <w:r w:rsidRPr="006A4C3D">
        <w:rPr>
          <w:rStyle w:val="apple-converted-space"/>
          <w:rFonts w:ascii="Arial" w:hAnsi="Arial" w:cs="Arial"/>
          <w:sz w:val="25"/>
          <w:szCs w:val="25"/>
          <w:shd w:val="clear" w:color="auto" w:fill="FFFFFF"/>
        </w:rPr>
        <w:t> </w:t>
      </w:r>
      <w:r w:rsidRPr="006A4C3D">
        <w:rPr>
          <w:rStyle w:val="nfasis"/>
          <w:rFonts w:ascii="Arial" w:hAnsi="Arial" w:cs="Arial"/>
          <w:bCs/>
          <w:i w:val="0"/>
          <w:iCs w:val="0"/>
          <w:sz w:val="25"/>
          <w:szCs w:val="25"/>
          <w:shd w:val="clear" w:color="auto" w:fill="FFFFFF"/>
        </w:rPr>
        <w:t>supervisión:</w:t>
      </w:r>
    </w:p>
    <w:p w14:paraId="12ED098A" w14:textId="77777777" w:rsidR="006A4C3D" w:rsidRDefault="006A4C3D" w:rsidP="006A4C3D">
      <w:pPr>
        <w:ind w:left="708"/>
        <w:jc w:val="both"/>
        <w:rPr>
          <w:rFonts w:ascii="Arial" w:hAnsi="Arial" w:cs="Arial"/>
          <w:b/>
          <w:sz w:val="25"/>
          <w:szCs w:val="25"/>
        </w:rPr>
      </w:pPr>
    </w:p>
    <w:p w14:paraId="61505D0D" w14:textId="77777777" w:rsidR="006A4C3D" w:rsidRDefault="008802DD" w:rsidP="006A4C3D">
      <w:pPr>
        <w:ind w:left="708"/>
        <w:jc w:val="both"/>
        <w:rPr>
          <w:rFonts w:ascii="Arial" w:hAnsi="Arial" w:cs="Arial"/>
          <w:b/>
          <w:sz w:val="25"/>
          <w:szCs w:val="25"/>
        </w:rPr>
      </w:pPr>
      <w:r w:rsidRPr="006A4C3D">
        <w:rPr>
          <w:rFonts w:ascii="Arial" w:hAnsi="Arial" w:cs="Arial"/>
          <w:b/>
          <w:sz w:val="25"/>
          <w:szCs w:val="25"/>
        </w:rPr>
        <w:t>Utilidad (numerador)</w:t>
      </w:r>
      <w:r w:rsidRPr="006A4C3D">
        <w:rPr>
          <w:rFonts w:ascii="Arial" w:hAnsi="Arial" w:cs="Arial"/>
          <w:sz w:val="25"/>
          <w:szCs w:val="25"/>
        </w:rPr>
        <w:t xml:space="preserve">. 590000 </w:t>
      </w:r>
    </w:p>
    <w:p w14:paraId="1D1782C8" w14:textId="630E9D81" w:rsidR="008802DD" w:rsidRPr="006A4C3D" w:rsidRDefault="008802DD" w:rsidP="006A4C3D">
      <w:pPr>
        <w:ind w:left="708"/>
        <w:jc w:val="both"/>
        <w:rPr>
          <w:rFonts w:ascii="Arial" w:hAnsi="Arial" w:cs="Arial"/>
          <w:b/>
          <w:sz w:val="25"/>
          <w:szCs w:val="25"/>
        </w:rPr>
      </w:pPr>
      <w:r w:rsidRPr="006A4C3D">
        <w:rPr>
          <w:rFonts w:ascii="Arial" w:hAnsi="Arial" w:cs="Arial"/>
          <w:b/>
          <w:sz w:val="25"/>
          <w:szCs w:val="25"/>
        </w:rPr>
        <w:t>Desviación estándar de la utilidad de los últimos 24 meses (denominador)</w:t>
      </w:r>
      <w:r w:rsidRPr="006A4C3D">
        <w:rPr>
          <w:rFonts w:ascii="Arial" w:hAnsi="Arial" w:cs="Arial"/>
          <w:sz w:val="25"/>
          <w:szCs w:val="25"/>
        </w:rPr>
        <w:t xml:space="preserve">. </w:t>
      </w:r>
    </w:p>
    <w:p w14:paraId="2A00F665" w14:textId="77777777" w:rsidR="008802DD" w:rsidRPr="008802DD" w:rsidRDefault="008802DD" w:rsidP="00641E69">
      <w:pPr>
        <w:pStyle w:val="Prrafodelista"/>
        <w:spacing w:after="0" w:line="240" w:lineRule="auto"/>
        <w:ind w:left="1125"/>
        <w:rPr>
          <w:rFonts w:ascii="Arial" w:hAnsi="Arial" w:cs="Arial"/>
          <w:sz w:val="25"/>
          <w:szCs w:val="25"/>
          <w:highlight w:val="yellow"/>
        </w:rPr>
      </w:pPr>
    </w:p>
    <w:p w14:paraId="01F93BF7" w14:textId="6D3E9F04" w:rsidR="008802DD" w:rsidRPr="008802DD" w:rsidRDefault="00A70BCF" w:rsidP="00641E69">
      <w:pPr>
        <w:pStyle w:val="Prrafodelista"/>
        <w:spacing w:after="0" w:line="240" w:lineRule="auto"/>
        <w:ind w:left="1125"/>
        <w:jc w:val="center"/>
        <w:rPr>
          <w:rFonts w:ascii="Arial" w:hAnsi="Arial" w:cs="Arial"/>
          <w:sz w:val="25"/>
          <w:szCs w:val="25"/>
          <w:highlight w:val="yellow"/>
        </w:rPr>
      </w:pPr>
      <m:oMathPara>
        <m:oMath>
          <m:rad>
            <m:radPr>
              <m:ctrlPr>
                <w:rPr>
                  <w:rFonts w:ascii="Cambria Math" w:hAnsi="Cambria Math" w:cs="Arial"/>
                  <w:i/>
                  <w:sz w:val="25"/>
                  <w:szCs w:val="25"/>
                </w:rPr>
              </m:ctrlPr>
            </m:radPr>
            <m:deg>
              <m:r>
                <w:rPr>
                  <w:rFonts w:ascii="Cambria Math" w:hAnsi="Cambria Math" w:cs="Arial"/>
                  <w:sz w:val="25"/>
                  <w:szCs w:val="25"/>
                </w:rPr>
                <m:t xml:space="preserve"> </m:t>
              </m:r>
            </m:deg>
            <m:e>
              <m:f>
                <m:fPr>
                  <m:ctrlPr>
                    <w:rPr>
                      <w:rFonts w:ascii="Cambria Math" w:hAnsi="Cambria Math" w:cs="Arial"/>
                      <w:i/>
                      <w:sz w:val="25"/>
                      <w:szCs w:val="25"/>
                    </w:rPr>
                  </m:ctrlPr>
                </m:fPr>
                <m:num>
                  <m:nary>
                    <m:naryPr>
                      <m:chr m:val="∑"/>
                      <m:limLoc m:val="undOvr"/>
                      <m:ctrlPr>
                        <w:rPr>
                          <w:rFonts w:ascii="Cambria Math" w:hAnsi="Cambria Math" w:cs="Arial"/>
                          <w:i/>
                          <w:sz w:val="25"/>
                          <w:szCs w:val="25"/>
                        </w:rPr>
                      </m:ctrlPr>
                    </m:naryPr>
                    <m:sub>
                      <m:r>
                        <w:rPr>
                          <w:rFonts w:ascii="Cambria Math" w:hAnsi="Cambria Math" w:cs="Arial"/>
                          <w:sz w:val="25"/>
                          <w:szCs w:val="25"/>
                        </w:rPr>
                        <m:t>t-23</m:t>
                      </m:r>
                    </m:sub>
                    <m:sup>
                      <m:r>
                        <w:rPr>
                          <w:rFonts w:ascii="Cambria Math" w:hAnsi="Cambria Math" w:cs="Arial"/>
                          <w:sz w:val="25"/>
                          <w:szCs w:val="25"/>
                        </w:rPr>
                        <m:t>t</m:t>
                      </m:r>
                    </m:sup>
                    <m:e>
                      <m:sSup>
                        <m:sSupPr>
                          <m:ctrlPr>
                            <w:rPr>
                              <w:rFonts w:ascii="Cambria Math" w:hAnsi="Cambria Math" w:cs="Arial"/>
                              <w:i/>
                              <w:sz w:val="25"/>
                              <w:szCs w:val="25"/>
                            </w:rPr>
                          </m:ctrlPr>
                        </m:sSupPr>
                        <m:e>
                          <m:d>
                            <m:dPr>
                              <m:ctrlPr>
                                <w:rPr>
                                  <w:rFonts w:ascii="Cambria Math" w:hAnsi="Cambria Math" w:cs="Arial"/>
                                  <w:i/>
                                  <w:sz w:val="25"/>
                                  <w:szCs w:val="25"/>
                                </w:rPr>
                              </m:ctrlPr>
                            </m:dPr>
                            <m:e>
                              <m:sSub>
                                <m:sSubPr>
                                  <m:ctrlPr>
                                    <w:rPr>
                                      <w:rFonts w:ascii="Cambria Math" w:hAnsi="Cambria Math" w:cs="Arial"/>
                                      <w:i/>
                                      <w:sz w:val="25"/>
                                      <w:szCs w:val="25"/>
                                    </w:rPr>
                                  </m:ctrlPr>
                                </m:sSubPr>
                                <m:e>
                                  <m:r>
                                    <w:rPr>
                                      <w:rFonts w:ascii="Cambria Math" w:hAnsi="Cambria Math" w:cs="Arial"/>
                                      <w:sz w:val="25"/>
                                      <w:szCs w:val="25"/>
                                    </w:rPr>
                                    <m:t>Utilidad</m:t>
                                  </m:r>
                                </m:e>
                                <m:sub>
                                  <m:r>
                                    <w:rPr>
                                      <w:rFonts w:ascii="Cambria Math" w:hAnsi="Cambria Math" w:cs="Arial"/>
                                      <w:sz w:val="25"/>
                                      <w:szCs w:val="25"/>
                                    </w:rPr>
                                    <m:t>t</m:t>
                                  </m:r>
                                </m:sub>
                              </m:sSub>
                              <m:r>
                                <w:rPr>
                                  <w:rFonts w:ascii="Cambria Math" w:hAnsi="Cambria Math" w:cs="Arial"/>
                                  <w:sz w:val="25"/>
                                  <w:szCs w:val="25"/>
                                </w:rPr>
                                <m:t>-Promedio de utilidad de últimos 24 meses</m:t>
                              </m:r>
                            </m:e>
                          </m:d>
                        </m:e>
                        <m:sup>
                          <m:r>
                            <w:rPr>
                              <w:rFonts w:ascii="Cambria Math" w:hAnsi="Cambria Math" w:cs="Arial"/>
                              <w:sz w:val="25"/>
                              <w:szCs w:val="25"/>
                            </w:rPr>
                            <m:t>2</m:t>
                          </m:r>
                        </m:sup>
                      </m:sSup>
                    </m:e>
                  </m:nary>
                </m:num>
                <m:den>
                  <m:r>
                    <w:rPr>
                      <w:rFonts w:ascii="Cambria Math" w:hAnsi="Cambria Math" w:cs="Arial"/>
                      <w:sz w:val="25"/>
                      <w:szCs w:val="25"/>
                    </w:rPr>
                    <m:t>23</m:t>
                  </m:r>
                </m:den>
              </m:f>
            </m:e>
          </m:rad>
        </m:oMath>
      </m:oMathPara>
    </w:p>
    <w:p w14:paraId="517E19D8" w14:textId="77777777" w:rsidR="008802DD" w:rsidRPr="008802DD" w:rsidRDefault="008802DD" w:rsidP="00641E69">
      <w:pPr>
        <w:pStyle w:val="Prrafodelista"/>
        <w:spacing w:after="0" w:line="240" w:lineRule="auto"/>
        <w:ind w:left="1125"/>
        <w:rPr>
          <w:rFonts w:ascii="Arial" w:hAnsi="Arial" w:cs="Arial"/>
          <w:sz w:val="25"/>
          <w:szCs w:val="25"/>
          <w:highlight w:val="yellow"/>
        </w:rPr>
      </w:pPr>
    </w:p>
    <w:p w14:paraId="6DB24644" w14:textId="77777777" w:rsidR="008802DD" w:rsidRPr="008802DD" w:rsidRDefault="008802DD" w:rsidP="00641E69">
      <w:pPr>
        <w:pStyle w:val="Prrafodelista"/>
        <w:spacing w:after="0" w:line="240" w:lineRule="auto"/>
        <w:ind w:left="1276"/>
        <w:rPr>
          <w:rFonts w:ascii="Arial" w:hAnsi="Arial" w:cs="Arial"/>
          <w:sz w:val="25"/>
          <w:szCs w:val="25"/>
        </w:rPr>
      </w:pPr>
      <w:r w:rsidRPr="008802DD">
        <w:rPr>
          <w:rFonts w:ascii="Arial" w:hAnsi="Arial" w:cs="Arial"/>
          <w:sz w:val="25"/>
          <w:szCs w:val="25"/>
        </w:rPr>
        <w:t xml:space="preserve">Donde promedio de utilidad de los últimos 24 meses es: </w:t>
      </w:r>
    </w:p>
    <w:p w14:paraId="6B3E8487" w14:textId="77777777" w:rsidR="008802DD" w:rsidRPr="008802DD" w:rsidRDefault="008802DD" w:rsidP="00641E69">
      <w:pPr>
        <w:pStyle w:val="Prrafodelista"/>
        <w:spacing w:after="0" w:line="240" w:lineRule="auto"/>
        <w:ind w:left="1125"/>
        <w:rPr>
          <w:rFonts w:ascii="Arial" w:hAnsi="Arial" w:cs="Arial"/>
          <w:sz w:val="25"/>
          <w:szCs w:val="25"/>
          <w:highlight w:val="yellow"/>
        </w:rPr>
      </w:pPr>
    </w:p>
    <w:p w14:paraId="586F298D" w14:textId="7F766826" w:rsidR="008802DD" w:rsidRPr="008802DD" w:rsidRDefault="00A70BCF" w:rsidP="00641E69">
      <w:pPr>
        <w:pStyle w:val="Prrafodelista"/>
        <w:spacing w:after="0" w:line="240" w:lineRule="auto"/>
        <w:ind w:left="1125"/>
        <w:jc w:val="center"/>
        <w:rPr>
          <w:rFonts w:ascii="Arial" w:hAnsi="Arial" w:cs="Arial"/>
          <w:sz w:val="25"/>
          <w:szCs w:val="25"/>
          <w:highlight w:val="yellow"/>
        </w:rPr>
      </w:pPr>
      <m:oMathPara>
        <m:oMath>
          <m:f>
            <m:fPr>
              <m:ctrlPr>
                <w:rPr>
                  <w:rFonts w:ascii="Cambria Math" w:hAnsi="Cambria Math" w:cs="Arial"/>
                  <w:i/>
                  <w:sz w:val="25"/>
                  <w:szCs w:val="25"/>
                </w:rPr>
              </m:ctrlPr>
            </m:fPr>
            <m:num>
              <m:nary>
                <m:naryPr>
                  <m:chr m:val="∑"/>
                  <m:limLoc m:val="undOvr"/>
                  <m:ctrlPr>
                    <w:rPr>
                      <w:rFonts w:ascii="Cambria Math" w:hAnsi="Cambria Math" w:cs="Arial"/>
                      <w:i/>
                      <w:sz w:val="25"/>
                      <w:szCs w:val="25"/>
                    </w:rPr>
                  </m:ctrlPr>
                </m:naryPr>
                <m:sub>
                  <m:r>
                    <w:rPr>
                      <w:rFonts w:ascii="Cambria Math" w:hAnsi="Cambria Math" w:cs="Arial"/>
                      <w:sz w:val="25"/>
                      <w:szCs w:val="25"/>
                    </w:rPr>
                    <m:t>t-23</m:t>
                  </m:r>
                </m:sub>
                <m:sup>
                  <m:r>
                    <w:rPr>
                      <w:rFonts w:ascii="Cambria Math" w:hAnsi="Cambria Math" w:cs="Arial"/>
                      <w:sz w:val="25"/>
                      <w:szCs w:val="25"/>
                    </w:rPr>
                    <m:t>t</m:t>
                  </m:r>
                </m:sup>
                <m:e>
                  <m:r>
                    <w:rPr>
                      <w:rFonts w:ascii="Cambria Math" w:hAnsi="Cambria Math" w:cs="Arial"/>
                      <w:sz w:val="25"/>
                      <w:szCs w:val="25"/>
                    </w:rPr>
                    <m:t>Utilidad</m:t>
                  </m:r>
                </m:e>
              </m:nary>
            </m:num>
            <m:den>
              <m:r>
                <w:rPr>
                  <w:rFonts w:ascii="Cambria Math" w:hAnsi="Cambria Math" w:cs="Arial"/>
                  <w:sz w:val="25"/>
                  <w:szCs w:val="25"/>
                </w:rPr>
                <m:t>24</m:t>
              </m:r>
            </m:den>
          </m:f>
        </m:oMath>
      </m:oMathPara>
    </w:p>
    <w:p w14:paraId="3B99DF76" w14:textId="77777777" w:rsidR="008802DD" w:rsidRPr="008802DD" w:rsidRDefault="008802DD" w:rsidP="00641E69">
      <w:pPr>
        <w:pStyle w:val="Prrafodelista"/>
        <w:spacing w:after="0" w:line="240" w:lineRule="auto"/>
        <w:ind w:left="1191"/>
        <w:jc w:val="both"/>
        <w:rPr>
          <w:rFonts w:ascii="Arial" w:hAnsi="Arial" w:cs="Arial"/>
          <w:sz w:val="25"/>
          <w:szCs w:val="25"/>
        </w:rPr>
      </w:pPr>
    </w:p>
    <w:p w14:paraId="191E9886" w14:textId="77777777" w:rsidR="008802DD" w:rsidRPr="008802DD" w:rsidRDefault="008802DD" w:rsidP="00641E69">
      <w:pPr>
        <w:pStyle w:val="Prrafodelista"/>
        <w:spacing w:after="0" w:line="240" w:lineRule="auto"/>
        <w:ind w:left="1276"/>
        <w:jc w:val="both"/>
        <w:rPr>
          <w:rFonts w:ascii="Arial" w:hAnsi="Arial" w:cs="Arial"/>
          <w:sz w:val="25"/>
          <w:szCs w:val="25"/>
        </w:rPr>
      </w:pPr>
      <w:r w:rsidRPr="008802DD">
        <w:rPr>
          <w:rFonts w:ascii="Arial" w:hAnsi="Arial" w:cs="Arial"/>
          <w:sz w:val="25"/>
          <w:szCs w:val="25"/>
        </w:rPr>
        <w:t xml:space="preserve">Donde t corresponde al mes en el que realiza el cálculo. </w:t>
      </w:r>
    </w:p>
    <w:p w14:paraId="45CDFA50" w14:textId="77777777" w:rsidR="008802DD" w:rsidRPr="008802DD" w:rsidRDefault="008802DD" w:rsidP="00641E69">
      <w:pPr>
        <w:ind w:firstLine="360"/>
        <w:jc w:val="both"/>
        <w:rPr>
          <w:rFonts w:ascii="Arial" w:hAnsi="Arial" w:cs="Arial"/>
          <w:b/>
          <w:sz w:val="25"/>
          <w:szCs w:val="25"/>
        </w:rPr>
      </w:pPr>
    </w:p>
    <w:p w14:paraId="0A089A4B" w14:textId="77777777" w:rsidR="008802DD" w:rsidRPr="00BF20A0" w:rsidRDefault="007D7E9F" w:rsidP="00641E69">
      <w:pPr>
        <w:pStyle w:val="Textoindependiente"/>
        <w:numPr>
          <w:ilvl w:val="1"/>
          <w:numId w:val="5"/>
        </w:numPr>
        <w:suppressAutoHyphens/>
        <w:rPr>
          <w:rFonts w:cs="Arial"/>
          <w:b/>
          <w:sz w:val="25"/>
          <w:szCs w:val="25"/>
        </w:rPr>
      </w:pPr>
      <w:r w:rsidRPr="00BF20A0">
        <w:rPr>
          <w:rFonts w:cs="Arial"/>
          <w:b/>
          <w:sz w:val="25"/>
          <w:szCs w:val="25"/>
        </w:rPr>
        <w:t>Liquidez</w:t>
      </w:r>
    </w:p>
    <w:p w14:paraId="59F5F053" w14:textId="77777777" w:rsidR="006A4C3D" w:rsidRDefault="006A4C3D" w:rsidP="006A4C3D">
      <w:pPr>
        <w:jc w:val="both"/>
        <w:rPr>
          <w:rFonts w:ascii="Arial" w:hAnsi="Arial" w:cs="Arial"/>
          <w:b/>
          <w:sz w:val="25"/>
          <w:szCs w:val="25"/>
        </w:rPr>
      </w:pPr>
    </w:p>
    <w:p w14:paraId="1B03FDDB" w14:textId="77777777" w:rsidR="006A4C3D" w:rsidRDefault="008802DD" w:rsidP="00EA3457">
      <w:pPr>
        <w:ind w:left="708"/>
        <w:jc w:val="both"/>
        <w:rPr>
          <w:rFonts w:ascii="Arial" w:hAnsi="Arial" w:cs="Arial"/>
          <w:b/>
          <w:sz w:val="25"/>
          <w:szCs w:val="25"/>
        </w:rPr>
      </w:pPr>
      <w:r w:rsidRPr="006A4C3D">
        <w:rPr>
          <w:rFonts w:ascii="Arial" w:hAnsi="Arial" w:cs="Arial"/>
          <w:b/>
          <w:sz w:val="25"/>
          <w:szCs w:val="25"/>
        </w:rPr>
        <w:t>4.</w:t>
      </w:r>
      <w:r w:rsidR="009000A1" w:rsidRPr="006A4C3D">
        <w:rPr>
          <w:rFonts w:ascii="Arial" w:hAnsi="Arial" w:cs="Arial"/>
          <w:b/>
          <w:sz w:val="25"/>
          <w:szCs w:val="25"/>
        </w:rPr>
        <w:t>5</w:t>
      </w:r>
      <w:r w:rsidRPr="006A4C3D">
        <w:rPr>
          <w:rFonts w:ascii="Arial" w:hAnsi="Arial" w:cs="Arial"/>
          <w:b/>
          <w:sz w:val="25"/>
          <w:szCs w:val="25"/>
        </w:rPr>
        <w:t>.1 Activos líquidos ajustados por liquidez / Requerimiento neto de liquidez de la banda 30 días</w:t>
      </w:r>
    </w:p>
    <w:p w14:paraId="2690C8D5" w14:textId="77777777" w:rsidR="006A4C3D" w:rsidRDefault="006A4C3D" w:rsidP="00EA3457">
      <w:pPr>
        <w:ind w:left="708"/>
        <w:jc w:val="both"/>
        <w:rPr>
          <w:rFonts w:ascii="Arial" w:hAnsi="Arial" w:cs="Arial"/>
          <w:b/>
          <w:sz w:val="25"/>
          <w:szCs w:val="25"/>
        </w:rPr>
      </w:pPr>
    </w:p>
    <w:p w14:paraId="5755B15D" w14:textId="77777777" w:rsidR="00D006CE" w:rsidRDefault="008802DD" w:rsidP="00EA3457">
      <w:pPr>
        <w:ind w:left="708"/>
        <w:jc w:val="both"/>
        <w:rPr>
          <w:rFonts w:ascii="Arial" w:hAnsi="Arial" w:cs="Arial"/>
          <w:sz w:val="25"/>
          <w:szCs w:val="25"/>
        </w:rPr>
      </w:pPr>
      <w:r w:rsidRPr="00042221">
        <w:rPr>
          <w:rFonts w:ascii="Arial" w:hAnsi="Arial" w:cs="Arial"/>
          <w:sz w:val="25"/>
          <w:szCs w:val="25"/>
        </w:rPr>
        <w:lastRenderedPageBreak/>
        <w:t>De los reportes semanales del Formato 458, se debe seleccionar el indicador mensual más bajo del valor reportado en el Formato 458, Unidad de Captura 11, Columna 18, Subcuenta 010, correspondiente al concepto de Razón Indicador de Riesgo de Liquidez (</w:t>
      </w:r>
      <w:proofErr w:type="spellStart"/>
      <w:r w:rsidRPr="00042221">
        <w:rPr>
          <w:rFonts w:ascii="Arial" w:hAnsi="Arial" w:cs="Arial"/>
          <w:sz w:val="25"/>
          <w:szCs w:val="25"/>
        </w:rPr>
        <w:t>IRLr</w:t>
      </w:r>
      <w:proofErr w:type="spellEnd"/>
      <w:r w:rsidRPr="00042221">
        <w:rPr>
          <w:rFonts w:ascii="Arial" w:hAnsi="Arial" w:cs="Arial"/>
          <w:sz w:val="25"/>
          <w:szCs w:val="25"/>
        </w:rPr>
        <w:t>).</w:t>
      </w:r>
    </w:p>
    <w:p w14:paraId="5487F454" w14:textId="77777777" w:rsidR="00D006CE" w:rsidRDefault="00D006CE" w:rsidP="00EA3457">
      <w:pPr>
        <w:ind w:left="708"/>
        <w:jc w:val="both"/>
        <w:rPr>
          <w:rFonts w:ascii="Arial" w:hAnsi="Arial" w:cs="Arial"/>
          <w:sz w:val="25"/>
          <w:szCs w:val="25"/>
        </w:rPr>
      </w:pPr>
    </w:p>
    <w:p w14:paraId="29849B93" w14:textId="77777777" w:rsidR="00D006CE" w:rsidRDefault="006D0885" w:rsidP="00EA3457">
      <w:pPr>
        <w:ind w:left="708"/>
        <w:jc w:val="both"/>
        <w:rPr>
          <w:rFonts w:ascii="Arial" w:hAnsi="Arial" w:cs="Arial"/>
          <w:sz w:val="25"/>
          <w:szCs w:val="25"/>
        </w:rPr>
      </w:pPr>
      <w:r w:rsidRPr="006A4C3D">
        <w:rPr>
          <w:rFonts w:ascii="Arial" w:hAnsi="Arial" w:cs="Arial"/>
          <w:b/>
          <w:sz w:val="25"/>
          <w:szCs w:val="25"/>
        </w:rPr>
        <w:t>4.</w:t>
      </w:r>
      <w:r w:rsidR="009000A1" w:rsidRPr="006A4C3D">
        <w:rPr>
          <w:rFonts w:ascii="Arial" w:hAnsi="Arial" w:cs="Arial"/>
          <w:b/>
          <w:sz w:val="25"/>
          <w:szCs w:val="25"/>
        </w:rPr>
        <w:t>5</w:t>
      </w:r>
      <w:r w:rsidRPr="006A4C3D">
        <w:rPr>
          <w:rFonts w:ascii="Arial" w:hAnsi="Arial" w:cs="Arial"/>
          <w:b/>
          <w:sz w:val="25"/>
          <w:szCs w:val="25"/>
        </w:rPr>
        <w:t xml:space="preserve">.2 </w:t>
      </w:r>
      <w:r w:rsidR="00C513E2" w:rsidRPr="006A4C3D">
        <w:rPr>
          <w:rFonts w:ascii="Arial" w:hAnsi="Arial" w:cs="Arial"/>
          <w:b/>
          <w:sz w:val="25"/>
          <w:szCs w:val="25"/>
        </w:rPr>
        <w:t xml:space="preserve">Coeficiente de </w:t>
      </w:r>
      <w:r w:rsidR="00DE5470" w:rsidRPr="006A4C3D">
        <w:rPr>
          <w:rFonts w:ascii="Arial" w:hAnsi="Arial" w:cs="Arial"/>
          <w:b/>
          <w:sz w:val="25"/>
          <w:szCs w:val="25"/>
        </w:rPr>
        <w:t>f</w:t>
      </w:r>
      <w:r w:rsidR="00C513E2" w:rsidRPr="006A4C3D">
        <w:rPr>
          <w:rFonts w:ascii="Arial" w:hAnsi="Arial" w:cs="Arial"/>
          <w:b/>
          <w:sz w:val="25"/>
          <w:szCs w:val="25"/>
        </w:rPr>
        <w:t xml:space="preserve">ondeo </w:t>
      </w:r>
      <w:r w:rsidR="00DE5470" w:rsidRPr="006A4C3D">
        <w:rPr>
          <w:rFonts w:ascii="Arial" w:hAnsi="Arial" w:cs="Arial"/>
          <w:b/>
          <w:sz w:val="25"/>
          <w:szCs w:val="25"/>
        </w:rPr>
        <w:t>e</w:t>
      </w:r>
      <w:r w:rsidR="00C513E2" w:rsidRPr="006A4C3D">
        <w:rPr>
          <w:rFonts w:ascii="Arial" w:hAnsi="Arial" w:cs="Arial"/>
          <w:b/>
          <w:sz w:val="25"/>
          <w:szCs w:val="25"/>
        </w:rPr>
        <w:t xml:space="preserve">stable </w:t>
      </w:r>
      <w:r w:rsidR="00DE5470" w:rsidRPr="006A4C3D">
        <w:rPr>
          <w:rFonts w:ascii="Arial" w:hAnsi="Arial" w:cs="Arial"/>
          <w:b/>
          <w:sz w:val="25"/>
          <w:szCs w:val="25"/>
        </w:rPr>
        <w:t>n</w:t>
      </w:r>
      <w:r w:rsidR="00C513E2" w:rsidRPr="006A4C3D">
        <w:rPr>
          <w:rFonts w:ascii="Arial" w:hAnsi="Arial" w:cs="Arial"/>
          <w:b/>
          <w:sz w:val="25"/>
          <w:szCs w:val="25"/>
        </w:rPr>
        <w:t>eto (CFEN)</w:t>
      </w:r>
    </w:p>
    <w:p w14:paraId="45B50EBA" w14:textId="77777777" w:rsidR="00D006CE" w:rsidRDefault="00D006CE" w:rsidP="00EA3457">
      <w:pPr>
        <w:ind w:left="708"/>
        <w:jc w:val="both"/>
        <w:rPr>
          <w:rFonts w:ascii="Arial" w:hAnsi="Arial" w:cs="Arial"/>
          <w:sz w:val="25"/>
          <w:szCs w:val="25"/>
        </w:rPr>
      </w:pPr>
    </w:p>
    <w:p w14:paraId="2CC2E679" w14:textId="7CCE3789" w:rsidR="007C10D8" w:rsidRDefault="00C513E2" w:rsidP="00EA3457">
      <w:pPr>
        <w:ind w:left="708"/>
        <w:jc w:val="both"/>
        <w:rPr>
          <w:rFonts w:ascii="Arial" w:hAnsi="Arial" w:cs="Arial"/>
          <w:sz w:val="25"/>
          <w:szCs w:val="25"/>
        </w:rPr>
      </w:pPr>
      <w:r w:rsidRPr="00D006CE">
        <w:rPr>
          <w:rFonts w:ascii="Arial" w:hAnsi="Arial" w:cs="Arial"/>
          <w:sz w:val="25"/>
          <w:szCs w:val="25"/>
        </w:rPr>
        <w:t>Del formato 238 se toma la unidad de captura 3, subcuenta 015, columna 1, correspondiente al concepto de Coeficiente de Fondeo Estable Neto (CFEN).</w:t>
      </w:r>
    </w:p>
    <w:p w14:paraId="0E358F30" w14:textId="77777777" w:rsidR="00D006CE" w:rsidRPr="00D006CE" w:rsidRDefault="00D006CE" w:rsidP="00D006CE">
      <w:pPr>
        <w:jc w:val="both"/>
        <w:rPr>
          <w:rFonts w:ascii="Arial" w:hAnsi="Arial" w:cs="Arial"/>
          <w:sz w:val="25"/>
          <w:szCs w:val="25"/>
        </w:rPr>
      </w:pPr>
    </w:p>
    <w:p w14:paraId="431BD8C3" w14:textId="50BEDDE5" w:rsidR="00AD6AB3" w:rsidRDefault="007D7E9F" w:rsidP="00641E69">
      <w:pPr>
        <w:pStyle w:val="Textoindependiente"/>
        <w:numPr>
          <w:ilvl w:val="1"/>
          <w:numId w:val="5"/>
        </w:numPr>
        <w:suppressAutoHyphens/>
        <w:rPr>
          <w:rFonts w:cs="Arial"/>
          <w:b/>
          <w:sz w:val="25"/>
          <w:szCs w:val="25"/>
        </w:rPr>
      </w:pPr>
      <w:r>
        <w:rPr>
          <w:rFonts w:cs="Arial"/>
          <w:b/>
          <w:sz w:val="25"/>
          <w:szCs w:val="25"/>
        </w:rPr>
        <w:t>Concentración</w:t>
      </w:r>
    </w:p>
    <w:p w14:paraId="455387D0" w14:textId="308E0670" w:rsidR="009F4027" w:rsidRDefault="009F4027" w:rsidP="00641E69">
      <w:pPr>
        <w:pStyle w:val="Textoindependiente"/>
        <w:suppressAutoHyphens/>
        <w:rPr>
          <w:rFonts w:cs="Arial"/>
          <w:b/>
          <w:sz w:val="25"/>
          <w:szCs w:val="25"/>
        </w:rPr>
      </w:pPr>
    </w:p>
    <w:p w14:paraId="6EB6C8E7" w14:textId="77777777" w:rsidR="00162B44" w:rsidRDefault="009F4027" w:rsidP="00162B44">
      <w:pPr>
        <w:ind w:left="708"/>
        <w:jc w:val="both"/>
        <w:rPr>
          <w:rFonts w:ascii="Arial" w:hAnsi="Arial" w:cs="Arial"/>
          <w:sz w:val="25"/>
          <w:szCs w:val="25"/>
        </w:rPr>
      </w:pPr>
      <w:r w:rsidRPr="004B24A5">
        <w:rPr>
          <w:rFonts w:ascii="Arial" w:hAnsi="Arial" w:cs="Arial"/>
          <w:sz w:val="25"/>
          <w:szCs w:val="25"/>
        </w:rPr>
        <w:t>Los indicadores de concentración de deudores y depositantes utilizan formatos de transmisión trimestral</w:t>
      </w:r>
      <w:r w:rsidR="00173B84" w:rsidRPr="004B24A5">
        <w:rPr>
          <w:rFonts w:ascii="Arial" w:hAnsi="Arial" w:cs="Arial"/>
          <w:sz w:val="25"/>
          <w:szCs w:val="25"/>
        </w:rPr>
        <w:t>. Se debe utilizar el formato</w:t>
      </w:r>
      <w:r w:rsidR="00281808" w:rsidRPr="004B24A5">
        <w:rPr>
          <w:rFonts w:ascii="Arial" w:hAnsi="Arial" w:cs="Arial"/>
          <w:sz w:val="25"/>
          <w:szCs w:val="25"/>
        </w:rPr>
        <w:t xml:space="preserve"> generado en el</w:t>
      </w:r>
      <w:r w:rsidR="00173B84" w:rsidRPr="004B24A5">
        <w:rPr>
          <w:rFonts w:ascii="Arial" w:hAnsi="Arial" w:cs="Arial"/>
          <w:sz w:val="25"/>
          <w:szCs w:val="25"/>
        </w:rPr>
        <w:t xml:space="preserve"> </w:t>
      </w:r>
      <w:r w:rsidR="00281808" w:rsidRPr="004B24A5">
        <w:rPr>
          <w:rFonts w:ascii="Arial" w:hAnsi="Arial" w:cs="Arial"/>
          <w:sz w:val="25"/>
          <w:szCs w:val="25"/>
        </w:rPr>
        <w:t>trimestre de cobro</w:t>
      </w:r>
      <w:r w:rsidR="00CD4A07" w:rsidRPr="004B24A5">
        <w:rPr>
          <w:rFonts w:ascii="Arial" w:hAnsi="Arial" w:cs="Arial"/>
          <w:sz w:val="25"/>
          <w:szCs w:val="25"/>
        </w:rPr>
        <w:t xml:space="preserve">. El indicador se calcula en el mes de corte del formato </w:t>
      </w:r>
      <w:r w:rsidR="00B80F07" w:rsidRPr="004B24A5">
        <w:rPr>
          <w:rFonts w:ascii="Arial" w:hAnsi="Arial" w:cs="Arial"/>
          <w:sz w:val="25"/>
          <w:szCs w:val="25"/>
        </w:rPr>
        <w:t>y se</w:t>
      </w:r>
      <w:r w:rsidRPr="004B24A5">
        <w:rPr>
          <w:rFonts w:ascii="Arial" w:hAnsi="Arial" w:cs="Arial"/>
          <w:sz w:val="25"/>
          <w:szCs w:val="25"/>
        </w:rPr>
        <w:t xml:space="preserve"> replica para los tres meses</w:t>
      </w:r>
      <w:r w:rsidR="00173B84" w:rsidRPr="004B24A5">
        <w:rPr>
          <w:rFonts w:ascii="Arial" w:hAnsi="Arial" w:cs="Arial"/>
          <w:sz w:val="25"/>
          <w:szCs w:val="25"/>
        </w:rPr>
        <w:t xml:space="preserve"> del </w:t>
      </w:r>
      <w:r w:rsidR="00CD4A07" w:rsidRPr="004B24A5">
        <w:rPr>
          <w:rFonts w:ascii="Arial" w:hAnsi="Arial" w:cs="Arial"/>
          <w:sz w:val="25"/>
          <w:szCs w:val="25"/>
        </w:rPr>
        <w:t>trimestre</w:t>
      </w:r>
      <w:r w:rsidR="00173B84" w:rsidRPr="004B24A5">
        <w:rPr>
          <w:rFonts w:ascii="Arial" w:hAnsi="Arial" w:cs="Arial"/>
          <w:sz w:val="25"/>
          <w:szCs w:val="25"/>
        </w:rPr>
        <w:t>.</w:t>
      </w:r>
    </w:p>
    <w:p w14:paraId="2053CF2C" w14:textId="77777777" w:rsidR="00162B44" w:rsidRDefault="00162B44" w:rsidP="00162B44">
      <w:pPr>
        <w:ind w:left="708"/>
        <w:jc w:val="both"/>
        <w:rPr>
          <w:rFonts w:ascii="Arial" w:hAnsi="Arial" w:cs="Arial"/>
          <w:sz w:val="25"/>
          <w:szCs w:val="25"/>
        </w:rPr>
      </w:pPr>
    </w:p>
    <w:p w14:paraId="513D9B41" w14:textId="75462DB1" w:rsidR="00B80F07" w:rsidRPr="00162B44" w:rsidRDefault="00B80F07" w:rsidP="00162B44">
      <w:pPr>
        <w:ind w:left="708"/>
        <w:jc w:val="both"/>
        <w:rPr>
          <w:rFonts w:ascii="Arial" w:hAnsi="Arial" w:cs="Arial"/>
          <w:sz w:val="25"/>
          <w:szCs w:val="25"/>
        </w:rPr>
      </w:pPr>
      <w:r w:rsidRPr="001A7BC1">
        <w:rPr>
          <w:rFonts w:ascii="Arial" w:hAnsi="Arial" w:cs="Arial"/>
          <w:sz w:val="25"/>
          <w:szCs w:val="25"/>
          <w:lang w:val="es-CO" w:eastAsia="en-US"/>
        </w:rPr>
        <w:t xml:space="preserve">Ejemplo para el primer trimestre: </w:t>
      </w:r>
    </w:p>
    <w:p w14:paraId="4379ECE5" w14:textId="77777777" w:rsidR="00B80F07" w:rsidRPr="001A7BC1" w:rsidRDefault="00B80F07" w:rsidP="00641E69">
      <w:pPr>
        <w:jc w:val="both"/>
        <w:rPr>
          <w:rFonts w:ascii="Arial" w:hAnsi="Arial" w:cs="Arial"/>
          <w:sz w:val="25"/>
          <w:szCs w:val="25"/>
          <w:lang w:val="es-CO" w:eastAsia="en-US"/>
        </w:rPr>
      </w:pPr>
    </w:p>
    <w:p w14:paraId="3781F6B1" w14:textId="77777777" w:rsidR="00B80F07" w:rsidRPr="001A7BC1" w:rsidRDefault="00A70BCF" w:rsidP="00641E69">
      <w:pPr>
        <w:jc w:val="both"/>
        <w:rPr>
          <w:rFonts w:ascii="Arial" w:hAnsi="Arial" w:cs="Arial"/>
          <w:sz w:val="25"/>
          <w:szCs w:val="25"/>
          <w:lang w:val="es-CO" w:eastAsia="en-US"/>
        </w:rPr>
      </w:pPr>
      <m:oMathPara>
        <m:oMath>
          <m:sSub>
            <m:sSubPr>
              <m:ctrlPr>
                <w:rPr>
                  <w:rFonts w:ascii="Cambria Math" w:hAnsi="Cambria Math" w:cs="Arial"/>
                  <w:sz w:val="25"/>
                  <w:szCs w:val="25"/>
                  <w:lang w:val="es-CO" w:eastAsia="en-US"/>
                </w:rPr>
              </m:ctrlPr>
            </m:sSubPr>
            <m:e>
              <m:r>
                <m:rPr>
                  <m:sty m:val="bi"/>
                </m:rPr>
                <w:rPr>
                  <w:rFonts w:ascii="Cambria Math" w:hAnsi="Cambria Math" w:cs="Arial"/>
                  <w:sz w:val="25"/>
                  <w:szCs w:val="25"/>
                  <w:lang w:val="es-CO" w:eastAsia="en-US"/>
                </w:rPr>
                <m:t>Concentraci</m:t>
              </m:r>
              <m:r>
                <m:rPr>
                  <m:sty m:val="p"/>
                </m:rPr>
                <w:rPr>
                  <w:rFonts w:ascii="Cambria Math" w:hAnsi="Cambria Math" w:cs="Arial"/>
                  <w:sz w:val="25"/>
                  <w:szCs w:val="25"/>
                  <w:lang w:val="es-CO" w:eastAsia="en-US"/>
                </w:rPr>
                <m:t>ó</m:t>
              </m:r>
              <m:r>
                <m:rPr>
                  <m:sty m:val="bi"/>
                </m:rPr>
                <w:rPr>
                  <w:rFonts w:ascii="Cambria Math" w:hAnsi="Cambria Math" w:cs="Arial"/>
                  <w:sz w:val="25"/>
                  <w:szCs w:val="25"/>
                  <w:lang w:val="es-CO" w:eastAsia="en-US"/>
                </w:rPr>
                <m:t>n</m:t>
              </m:r>
              <m:r>
                <m:rPr>
                  <m:sty m:val="p"/>
                </m:rPr>
                <w:rPr>
                  <w:rFonts w:ascii="Cambria Math" w:hAnsi="Cambria Math" w:cs="Arial"/>
                  <w:sz w:val="25"/>
                  <w:szCs w:val="25"/>
                  <w:lang w:val="es-CO" w:eastAsia="en-US"/>
                </w:rPr>
                <m:t xml:space="preserve"> </m:t>
              </m:r>
              <m:r>
                <m:rPr>
                  <m:sty m:val="bi"/>
                </m:rPr>
                <w:rPr>
                  <w:rFonts w:ascii="Cambria Math" w:hAnsi="Cambria Math" w:cs="Arial"/>
                  <w:sz w:val="25"/>
                  <w:szCs w:val="25"/>
                  <w:lang w:val="es-CO" w:eastAsia="en-US"/>
                </w:rPr>
                <m:t>deudores</m:t>
              </m:r>
            </m:e>
            <m:sub>
              <m:r>
                <m:rPr>
                  <m:sty m:val="bi"/>
                </m:rPr>
                <w:rPr>
                  <w:rFonts w:ascii="Cambria Math" w:hAnsi="Cambria Math" w:cs="Arial"/>
                  <w:sz w:val="25"/>
                  <w:szCs w:val="25"/>
                  <w:lang w:val="es-CO" w:eastAsia="en-US"/>
                </w:rPr>
                <m:t>T</m:t>
              </m:r>
              <m:r>
                <m:rPr>
                  <m:sty m:val="b"/>
                </m:rPr>
                <w:rPr>
                  <w:rFonts w:ascii="Cambria Math" w:hAnsi="Cambria Math" w:cs="Arial"/>
                  <w:sz w:val="25"/>
                  <w:szCs w:val="25"/>
                  <w:lang w:val="es-CO" w:eastAsia="en-US"/>
                </w:rPr>
                <m:t>1</m:t>
              </m:r>
            </m:sub>
          </m:sSub>
          <m:r>
            <m:rPr>
              <m:sty m:val="p"/>
            </m:rPr>
            <w:rPr>
              <w:rFonts w:ascii="Cambria Math" w:hAnsi="Cambria Math" w:cs="Arial"/>
              <w:sz w:val="25"/>
              <w:szCs w:val="25"/>
              <w:lang w:val="es-CO" w:eastAsia="en-US"/>
            </w:rPr>
            <m:t>=</m:t>
          </m:r>
          <m:f>
            <m:fPr>
              <m:ctrlPr>
                <w:rPr>
                  <w:rFonts w:ascii="Cambria Math" w:hAnsi="Cambria Math" w:cs="Arial"/>
                  <w:sz w:val="25"/>
                  <w:szCs w:val="25"/>
                  <w:lang w:val="es-CO" w:eastAsia="en-US"/>
                </w:rPr>
              </m:ctrlPr>
            </m:fPr>
            <m:num>
              <m:sSub>
                <m:sSubPr>
                  <m:ctrlPr>
                    <w:rPr>
                      <w:rFonts w:ascii="Cambria Math" w:hAnsi="Cambria Math" w:cs="Arial"/>
                      <w:sz w:val="25"/>
                      <w:szCs w:val="25"/>
                      <w:lang w:val="es-CO" w:eastAsia="en-US"/>
                    </w:rPr>
                  </m:ctrlPr>
                </m:sSubPr>
                <m:e>
                  <m:r>
                    <m:rPr>
                      <m:sty m:val="bi"/>
                    </m:rPr>
                    <w:rPr>
                      <w:rFonts w:ascii="Cambria Math" w:hAnsi="Cambria Math" w:cs="Arial"/>
                      <w:sz w:val="25"/>
                      <w:szCs w:val="25"/>
                      <w:lang w:val="es-CO" w:eastAsia="en-US"/>
                    </w:rPr>
                    <m:t>Top</m:t>
                  </m:r>
                  <m:r>
                    <m:rPr>
                      <m:sty m:val="p"/>
                    </m:rPr>
                    <w:rPr>
                      <w:rFonts w:ascii="Cambria Math" w:hAnsi="Cambria Math" w:cs="Arial"/>
                      <w:sz w:val="25"/>
                      <w:szCs w:val="25"/>
                      <w:lang w:val="es-CO" w:eastAsia="en-US"/>
                    </w:rPr>
                    <m:t xml:space="preserve"> </m:t>
                  </m:r>
                  <m:r>
                    <m:rPr>
                      <m:sty m:val="b"/>
                    </m:rPr>
                    <w:rPr>
                      <w:rFonts w:ascii="Cambria Math" w:hAnsi="Cambria Math" w:cs="Arial"/>
                      <w:sz w:val="25"/>
                      <w:szCs w:val="25"/>
                      <w:lang w:val="es-CO" w:eastAsia="en-US"/>
                    </w:rPr>
                    <m:t>5</m:t>
                  </m:r>
                  <m:r>
                    <m:rPr>
                      <m:sty m:val="p"/>
                    </m:rPr>
                    <w:rPr>
                      <w:rFonts w:ascii="Cambria Math" w:hAnsi="Cambria Math" w:cs="Arial"/>
                      <w:sz w:val="25"/>
                      <w:szCs w:val="25"/>
                      <w:lang w:val="es-CO" w:eastAsia="en-US"/>
                    </w:rPr>
                    <m:t xml:space="preserve"> </m:t>
                  </m:r>
                  <m:r>
                    <m:rPr>
                      <m:sty m:val="bi"/>
                    </m:rPr>
                    <w:rPr>
                      <w:rFonts w:ascii="Cambria Math" w:hAnsi="Cambria Math" w:cs="Arial"/>
                      <w:sz w:val="25"/>
                      <w:szCs w:val="25"/>
                      <w:lang w:val="es-CO" w:eastAsia="en-US"/>
                    </w:rPr>
                    <m:t>deudores</m:t>
                  </m:r>
                  <m:r>
                    <m:rPr>
                      <m:sty m:val="p"/>
                    </m:rPr>
                    <w:rPr>
                      <w:rFonts w:ascii="Cambria Math" w:hAnsi="Cambria Math" w:cs="Arial"/>
                      <w:sz w:val="25"/>
                      <w:szCs w:val="25"/>
                      <w:lang w:val="es-CO" w:eastAsia="en-US"/>
                    </w:rPr>
                    <m:t xml:space="preserve"> (</m:t>
                  </m:r>
                  <m:r>
                    <m:rPr>
                      <m:sty m:val="bi"/>
                    </m:rPr>
                    <w:rPr>
                      <w:rFonts w:ascii="Cambria Math" w:hAnsi="Cambria Math" w:cs="Arial"/>
                      <w:sz w:val="25"/>
                      <w:szCs w:val="25"/>
                      <w:lang w:val="es-CO" w:eastAsia="en-US"/>
                    </w:rPr>
                    <m:t>F</m:t>
                  </m:r>
                  <m:r>
                    <m:rPr>
                      <m:sty m:val="b"/>
                    </m:rPr>
                    <w:rPr>
                      <w:rFonts w:ascii="Cambria Math" w:hAnsi="Cambria Math" w:cs="Arial"/>
                      <w:sz w:val="25"/>
                      <w:szCs w:val="25"/>
                      <w:lang w:val="es-CO" w:eastAsia="en-US"/>
                    </w:rPr>
                    <m:t>341</m:t>
                  </m:r>
                  <m:r>
                    <m:rPr>
                      <m:sty m:val="p"/>
                    </m:rPr>
                    <w:rPr>
                      <w:rFonts w:ascii="Cambria Math" w:hAnsi="Cambria Math" w:cs="Arial"/>
                      <w:sz w:val="25"/>
                      <w:szCs w:val="25"/>
                      <w:lang w:val="es-CO" w:eastAsia="en-US"/>
                    </w:rPr>
                    <m:t>)</m:t>
                  </m:r>
                </m:e>
                <m:sub>
                  <m:r>
                    <m:rPr>
                      <m:sty m:val="bi"/>
                    </m:rPr>
                    <w:rPr>
                      <w:rFonts w:ascii="Cambria Math" w:hAnsi="Cambria Math" w:cs="Arial"/>
                      <w:sz w:val="25"/>
                      <w:szCs w:val="25"/>
                      <w:lang w:val="es-CO" w:eastAsia="en-US"/>
                    </w:rPr>
                    <m:t>marzo</m:t>
                  </m:r>
                </m:sub>
              </m:sSub>
            </m:num>
            <m:den>
              <m:sSub>
                <m:sSubPr>
                  <m:ctrlPr>
                    <w:rPr>
                      <w:rFonts w:ascii="Cambria Math" w:hAnsi="Cambria Math" w:cs="Arial"/>
                      <w:sz w:val="25"/>
                      <w:szCs w:val="25"/>
                      <w:lang w:val="es-CO" w:eastAsia="en-US"/>
                    </w:rPr>
                  </m:ctrlPr>
                </m:sSubPr>
                <m:e>
                  <m:r>
                    <m:rPr>
                      <m:sty m:val="bi"/>
                    </m:rPr>
                    <w:rPr>
                      <w:rFonts w:ascii="Cambria Math" w:hAnsi="Cambria Math" w:cs="Arial"/>
                      <w:sz w:val="25"/>
                      <w:szCs w:val="25"/>
                      <w:lang w:val="es-CO" w:eastAsia="en-US"/>
                    </w:rPr>
                    <m:t>Activos</m:t>
                  </m:r>
                </m:e>
                <m:sub>
                  <m:r>
                    <m:rPr>
                      <m:sty m:val="bi"/>
                    </m:rPr>
                    <w:rPr>
                      <w:rFonts w:ascii="Cambria Math" w:hAnsi="Cambria Math" w:cs="Arial"/>
                      <w:sz w:val="25"/>
                      <w:szCs w:val="25"/>
                      <w:lang w:val="es-CO" w:eastAsia="en-US"/>
                    </w:rPr>
                    <m:t>marzo</m:t>
                  </m:r>
                </m:sub>
              </m:sSub>
            </m:den>
          </m:f>
        </m:oMath>
      </m:oMathPara>
    </w:p>
    <w:p w14:paraId="0FE1B48D" w14:textId="77777777" w:rsidR="00B80F07" w:rsidRPr="001A7BC1" w:rsidRDefault="00B80F07" w:rsidP="00641E69">
      <w:pPr>
        <w:jc w:val="both"/>
        <w:rPr>
          <w:rFonts w:ascii="Arial" w:hAnsi="Arial" w:cs="Arial"/>
          <w:sz w:val="25"/>
          <w:szCs w:val="25"/>
          <w:lang w:val="es-CO" w:eastAsia="en-US"/>
        </w:rPr>
      </w:pPr>
    </w:p>
    <w:p w14:paraId="60D84D4D" w14:textId="77777777" w:rsidR="00B80F07" w:rsidRPr="001A7BC1" w:rsidRDefault="00A70BCF" w:rsidP="00641E69">
      <w:pPr>
        <w:jc w:val="both"/>
        <w:rPr>
          <w:rFonts w:ascii="Arial" w:hAnsi="Arial" w:cs="Arial"/>
          <w:sz w:val="25"/>
          <w:szCs w:val="25"/>
          <w:lang w:val="es-CO" w:eastAsia="en-US"/>
        </w:rPr>
      </w:pPr>
      <m:oMathPara>
        <m:oMath>
          <m:sSub>
            <m:sSubPr>
              <m:ctrlPr>
                <w:rPr>
                  <w:rFonts w:ascii="Cambria Math" w:hAnsi="Cambria Math" w:cs="Arial"/>
                  <w:sz w:val="25"/>
                  <w:szCs w:val="25"/>
                  <w:lang w:val="es-CO" w:eastAsia="en-US"/>
                </w:rPr>
              </m:ctrlPr>
            </m:sSubPr>
            <m:e>
              <m:r>
                <m:rPr>
                  <m:sty m:val="bi"/>
                </m:rPr>
                <w:rPr>
                  <w:rFonts w:ascii="Cambria Math" w:hAnsi="Cambria Math" w:cs="Arial"/>
                  <w:sz w:val="25"/>
                  <w:szCs w:val="25"/>
                  <w:lang w:val="es-CO" w:eastAsia="en-US"/>
                </w:rPr>
                <m:t>Concentraci</m:t>
              </m:r>
              <m:r>
                <m:rPr>
                  <m:sty m:val="p"/>
                </m:rPr>
                <w:rPr>
                  <w:rFonts w:ascii="Cambria Math" w:hAnsi="Cambria Math" w:cs="Arial"/>
                  <w:sz w:val="25"/>
                  <w:szCs w:val="25"/>
                  <w:lang w:val="es-CO" w:eastAsia="en-US"/>
                </w:rPr>
                <m:t>ó</m:t>
              </m:r>
              <m:r>
                <m:rPr>
                  <m:sty m:val="bi"/>
                </m:rPr>
                <w:rPr>
                  <w:rFonts w:ascii="Cambria Math" w:hAnsi="Cambria Math" w:cs="Arial"/>
                  <w:sz w:val="25"/>
                  <w:szCs w:val="25"/>
                  <w:lang w:val="es-CO" w:eastAsia="en-US"/>
                </w:rPr>
                <m:t>n</m:t>
              </m:r>
              <m:r>
                <m:rPr>
                  <m:sty m:val="p"/>
                </m:rPr>
                <w:rPr>
                  <w:rFonts w:ascii="Cambria Math" w:hAnsi="Cambria Math" w:cs="Arial"/>
                  <w:sz w:val="25"/>
                  <w:szCs w:val="25"/>
                  <w:lang w:val="es-CO" w:eastAsia="en-US"/>
                </w:rPr>
                <m:t xml:space="preserve"> </m:t>
              </m:r>
              <m:r>
                <m:rPr>
                  <m:sty m:val="bi"/>
                </m:rPr>
                <w:rPr>
                  <w:rFonts w:ascii="Cambria Math" w:hAnsi="Cambria Math" w:cs="Arial"/>
                  <w:sz w:val="25"/>
                  <w:szCs w:val="25"/>
                  <w:lang w:val="es-CO" w:eastAsia="en-US"/>
                </w:rPr>
                <m:t>depositantes</m:t>
              </m:r>
            </m:e>
            <m:sub>
              <m:r>
                <m:rPr>
                  <m:sty m:val="bi"/>
                </m:rPr>
                <w:rPr>
                  <w:rFonts w:ascii="Cambria Math" w:hAnsi="Cambria Math" w:cs="Arial"/>
                  <w:sz w:val="25"/>
                  <w:szCs w:val="25"/>
                  <w:lang w:val="es-CO" w:eastAsia="en-US"/>
                </w:rPr>
                <m:t>T</m:t>
              </m:r>
              <m:r>
                <m:rPr>
                  <m:sty m:val="b"/>
                </m:rPr>
                <w:rPr>
                  <w:rFonts w:ascii="Cambria Math" w:hAnsi="Cambria Math" w:cs="Arial"/>
                  <w:sz w:val="25"/>
                  <w:szCs w:val="25"/>
                  <w:lang w:val="es-CO" w:eastAsia="en-US"/>
                </w:rPr>
                <m:t>1</m:t>
              </m:r>
            </m:sub>
          </m:sSub>
          <m:r>
            <m:rPr>
              <m:sty m:val="p"/>
            </m:rPr>
            <w:rPr>
              <w:rFonts w:ascii="Cambria Math" w:hAnsi="Cambria Math" w:cs="Arial"/>
              <w:sz w:val="25"/>
              <w:szCs w:val="25"/>
              <w:lang w:val="es-CO" w:eastAsia="en-US"/>
            </w:rPr>
            <m:t>=</m:t>
          </m:r>
          <m:f>
            <m:fPr>
              <m:ctrlPr>
                <w:rPr>
                  <w:rFonts w:ascii="Cambria Math" w:hAnsi="Cambria Math" w:cs="Arial"/>
                  <w:sz w:val="25"/>
                  <w:szCs w:val="25"/>
                  <w:lang w:val="es-CO" w:eastAsia="en-US"/>
                </w:rPr>
              </m:ctrlPr>
            </m:fPr>
            <m:num>
              <m:sSub>
                <m:sSubPr>
                  <m:ctrlPr>
                    <w:rPr>
                      <w:rFonts w:ascii="Cambria Math" w:hAnsi="Cambria Math" w:cs="Arial"/>
                      <w:sz w:val="25"/>
                      <w:szCs w:val="25"/>
                      <w:lang w:val="es-CO" w:eastAsia="en-US"/>
                    </w:rPr>
                  </m:ctrlPr>
                </m:sSubPr>
                <m:e>
                  <m:r>
                    <m:rPr>
                      <m:sty m:val="bi"/>
                    </m:rPr>
                    <w:rPr>
                      <w:rFonts w:ascii="Cambria Math" w:hAnsi="Cambria Math" w:cs="Arial"/>
                      <w:sz w:val="25"/>
                      <w:szCs w:val="25"/>
                      <w:lang w:val="es-CO" w:eastAsia="en-US"/>
                    </w:rPr>
                    <m:t>Top</m:t>
                  </m:r>
                  <m:r>
                    <m:rPr>
                      <m:sty m:val="p"/>
                    </m:rPr>
                    <w:rPr>
                      <w:rFonts w:ascii="Cambria Math" w:hAnsi="Cambria Math" w:cs="Arial"/>
                      <w:sz w:val="25"/>
                      <w:szCs w:val="25"/>
                      <w:lang w:val="es-CO" w:eastAsia="en-US"/>
                    </w:rPr>
                    <m:t xml:space="preserve"> </m:t>
                  </m:r>
                  <m:r>
                    <m:rPr>
                      <m:sty m:val="b"/>
                    </m:rPr>
                    <w:rPr>
                      <w:rFonts w:ascii="Cambria Math" w:hAnsi="Cambria Math" w:cs="Arial"/>
                      <w:sz w:val="25"/>
                      <w:szCs w:val="25"/>
                      <w:lang w:val="es-CO" w:eastAsia="en-US"/>
                    </w:rPr>
                    <m:t>5</m:t>
                  </m:r>
                  <m:r>
                    <m:rPr>
                      <m:sty m:val="p"/>
                    </m:rPr>
                    <w:rPr>
                      <w:rFonts w:ascii="Cambria Math" w:hAnsi="Cambria Math" w:cs="Arial"/>
                      <w:sz w:val="25"/>
                      <w:szCs w:val="25"/>
                      <w:lang w:val="es-CO" w:eastAsia="en-US"/>
                    </w:rPr>
                    <m:t xml:space="preserve"> </m:t>
                  </m:r>
                  <m:r>
                    <m:rPr>
                      <m:sty m:val="bi"/>
                    </m:rPr>
                    <w:rPr>
                      <w:rFonts w:ascii="Cambria Math" w:hAnsi="Cambria Math" w:cs="Arial"/>
                      <w:sz w:val="25"/>
                      <w:szCs w:val="25"/>
                      <w:lang w:val="es-CO" w:eastAsia="en-US"/>
                    </w:rPr>
                    <m:t>depositantes</m:t>
                  </m:r>
                  <m:r>
                    <m:rPr>
                      <m:sty m:val="p"/>
                    </m:rPr>
                    <w:rPr>
                      <w:rFonts w:ascii="Cambria Math" w:hAnsi="Cambria Math" w:cs="Arial"/>
                      <w:sz w:val="25"/>
                      <w:szCs w:val="25"/>
                      <w:lang w:val="es-CO" w:eastAsia="en-US"/>
                    </w:rPr>
                    <m:t xml:space="preserve"> </m:t>
                  </m:r>
                  <m:d>
                    <m:dPr>
                      <m:ctrlPr>
                        <w:rPr>
                          <w:rFonts w:ascii="Cambria Math" w:hAnsi="Cambria Math" w:cs="Arial"/>
                          <w:sz w:val="25"/>
                          <w:szCs w:val="25"/>
                          <w:lang w:val="es-CO" w:eastAsia="en-US"/>
                        </w:rPr>
                      </m:ctrlPr>
                    </m:dPr>
                    <m:e>
                      <m:r>
                        <m:rPr>
                          <m:sty m:val="bi"/>
                        </m:rPr>
                        <w:rPr>
                          <w:rFonts w:ascii="Cambria Math" w:hAnsi="Cambria Math" w:cs="Arial"/>
                          <w:sz w:val="25"/>
                          <w:szCs w:val="25"/>
                          <w:lang w:val="es-CO" w:eastAsia="en-US"/>
                        </w:rPr>
                        <m:t>FDI</m:t>
                      </m:r>
                    </m:e>
                  </m:d>
                </m:e>
                <m:sub>
                  <m:r>
                    <m:rPr>
                      <m:sty m:val="bi"/>
                    </m:rPr>
                    <w:rPr>
                      <w:rFonts w:ascii="Cambria Math" w:hAnsi="Cambria Math" w:cs="Arial"/>
                      <w:sz w:val="25"/>
                      <w:szCs w:val="25"/>
                      <w:lang w:val="es-CO" w:eastAsia="en-US"/>
                    </w:rPr>
                    <m:t>enero</m:t>
                  </m:r>
                  <m:r>
                    <m:rPr>
                      <m:sty m:val="p"/>
                    </m:rPr>
                    <w:rPr>
                      <w:rFonts w:ascii="Cambria Math" w:hAnsi="Cambria Math" w:cs="Arial"/>
                      <w:sz w:val="25"/>
                      <w:szCs w:val="25"/>
                      <w:lang w:val="es-CO" w:eastAsia="en-US"/>
                    </w:rPr>
                    <m:t xml:space="preserve"> </m:t>
                  </m:r>
                  <m:r>
                    <m:rPr>
                      <m:sty m:val="b"/>
                    </m:rPr>
                    <w:rPr>
                      <w:rFonts w:ascii="Cambria Math" w:hAnsi="Cambria Math" w:cs="Arial"/>
                      <w:sz w:val="25"/>
                      <w:szCs w:val="25"/>
                      <w:lang w:val="es-CO" w:eastAsia="en-US"/>
                    </w:rPr>
                    <m:t>31</m:t>
                  </m:r>
                </m:sub>
              </m:sSub>
            </m:num>
            <m:den>
              <m:sSub>
                <m:sSubPr>
                  <m:ctrlPr>
                    <w:rPr>
                      <w:rFonts w:ascii="Cambria Math" w:hAnsi="Cambria Math" w:cs="Arial"/>
                      <w:sz w:val="25"/>
                      <w:szCs w:val="25"/>
                      <w:lang w:val="es-CO" w:eastAsia="en-US"/>
                    </w:rPr>
                  </m:ctrlPr>
                </m:sSubPr>
                <m:e>
                  <m:r>
                    <m:rPr>
                      <m:sty m:val="bi"/>
                    </m:rPr>
                    <w:rPr>
                      <w:rFonts w:ascii="Cambria Math" w:hAnsi="Cambria Math" w:cs="Arial"/>
                      <w:sz w:val="25"/>
                      <w:szCs w:val="25"/>
                      <w:lang w:val="es-CO" w:eastAsia="en-US"/>
                    </w:rPr>
                    <m:t>Pasivos</m:t>
                  </m:r>
                </m:e>
                <m:sub>
                  <m:r>
                    <m:rPr>
                      <m:sty m:val="bi"/>
                    </m:rPr>
                    <w:rPr>
                      <w:rFonts w:ascii="Cambria Math" w:hAnsi="Cambria Math" w:cs="Arial"/>
                      <w:sz w:val="25"/>
                      <w:szCs w:val="25"/>
                      <w:lang w:val="es-CO" w:eastAsia="en-US"/>
                    </w:rPr>
                    <m:t>enero</m:t>
                  </m:r>
                </m:sub>
              </m:sSub>
            </m:den>
          </m:f>
        </m:oMath>
      </m:oMathPara>
    </w:p>
    <w:p w14:paraId="651A7922" w14:textId="77777777" w:rsidR="00B80F07" w:rsidRPr="00B80F07" w:rsidRDefault="00B80F07" w:rsidP="00641E69">
      <w:pPr>
        <w:jc w:val="both"/>
        <w:rPr>
          <w:rFonts w:asciiTheme="minorHAnsi" w:hAnsiTheme="minorHAnsi" w:cs="Calibri"/>
        </w:rPr>
      </w:pPr>
    </w:p>
    <w:p w14:paraId="25BCA3CA" w14:textId="77777777" w:rsidR="00162B44" w:rsidRDefault="00162B44" w:rsidP="00162B44">
      <w:pPr>
        <w:jc w:val="both"/>
        <w:rPr>
          <w:rFonts w:ascii="Arial" w:hAnsi="Arial" w:cs="Arial"/>
          <w:b/>
          <w:sz w:val="25"/>
          <w:szCs w:val="25"/>
        </w:rPr>
      </w:pPr>
    </w:p>
    <w:p w14:paraId="2D4080E1" w14:textId="77777777" w:rsidR="00162B44" w:rsidRDefault="00AD6AB3" w:rsidP="00162B44">
      <w:pPr>
        <w:ind w:left="708"/>
        <w:jc w:val="both"/>
        <w:rPr>
          <w:rFonts w:ascii="Arial" w:hAnsi="Arial" w:cs="Arial"/>
          <w:b/>
          <w:sz w:val="25"/>
          <w:szCs w:val="25"/>
        </w:rPr>
      </w:pPr>
      <w:r w:rsidRPr="00162B44">
        <w:rPr>
          <w:rFonts w:ascii="Arial" w:hAnsi="Arial" w:cs="Arial"/>
          <w:b/>
          <w:sz w:val="25"/>
          <w:szCs w:val="25"/>
        </w:rPr>
        <w:t>4.</w:t>
      </w:r>
      <w:r w:rsidR="009000A1" w:rsidRPr="00162B44">
        <w:rPr>
          <w:rFonts w:ascii="Arial" w:hAnsi="Arial" w:cs="Arial"/>
          <w:b/>
          <w:sz w:val="25"/>
          <w:szCs w:val="25"/>
        </w:rPr>
        <w:t>6</w:t>
      </w:r>
      <w:r w:rsidRPr="00162B44">
        <w:rPr>
          <w:rFonts w:ascii="Arial" w:hAnsi="Arial" w:cs="Arial"/>
          <w:b/>
          <w:sz w:val="25"/>
          <w:szCs w:val="25"/>
        </w:rPr>
        <w:t>.1 Cartera 5 deudores más grandes / Activos totales</w:t>
      </w:r>
    </w:p>
    <w:p w14:paraId="0851081E" w14:textId="77777777" w:rsidR="00162B44" w:rsidRDefault="00162B44" w:rsidP="00162B44">
      <w:pPr>
        <w:ind w:left="708"/>
        <w:jc w:val="both"/>
        <w:rPr>
          <w:rFonts w:ascii="Arial" w:hAnsi="Arial" w:cs="Arial"/>
          <w:b/>
          <w:sz w:val="25"/>
          <w:szCs w:val="25"/>
        </w:rPr>
      </w:pPr>
    </w:p>
    <w:p w14:paraId="2AD9B528" w14:textId="77777777" w:rsidR="00162B44" w:rsidRDefault="00AD6AB3" w:rsidP="00162B44">
      <w:pPr>
        <w:ind w:left="708"/>
        <w:jc w:val="both"/>
        <w:rPr>
          <w:rFonts w:ascii="Arial" w:hAnsi="Arial" w:cs="Arial"/>
          <w:b/>
          <w:sz w:val="25"/>
          <w:szCs w:val="25"/>
        </w:rPr>
      </w:pPr>
      <w:r w:rsidRPr="00700828">
        <w:rPr>
          <w:rFonts w:ascii="Arial" w:hAnsi="Arial" w:cs="Arial"/>
          <w:b/>
          <w:sz w:val="25"/>
          <w:szCs w:val="25"/>
        </w:rPr>
        <w:t>Cartera 5 deudores más grandes (numerador)</w:t>
      </w:r>
      <w:r w:rsidRPr="00700828">
        <w:rPr>
          <w:rFonts w:ascii="Arial" w:hAnsi="Arial" w:cs="Arial"/>
          <w:sz w:val="25"/>
          <w:szCs w:val="25"/>
        </w:rPr>
        <w:t>. Del formato 341, se tomará la exposición total de cada deudor, correspondiente a la suma de las Columnas 36 y 37 de la Unidad de Captura 13, y se ordenará de mayor a menor. Para el cálculo del indicador, se sumarán las exposiciones de los 5 deudores más grandes.</w:t>
      </w:r>
    </w:p>
    <w:p w14:paraId="2582BAFB" w14:textId="77777777" w:rsidR="00162B44" w:rsidRDefault="00162B44" w:rsidP="00162B44">
      <w:pPr>
        <w:ind w:left="708"/>
        <w:jc w:val="both"/>
        <w:rPr>
          <w:rFonts w:ascii="Arial" w:hAnsi="Arial" w:cs="Arial"/>
          <w:b/>
          <w:sz w:val="25"/>
          <w:szCs w:val="25"/>
        </w:rPr>
      </w:pPr>
    </w:p>
    <w:p w14:paraId="330DA73F" w14:textId="77777777" w:rsidR="00162B44" w:rsidRDefault="00AD6AB3" w:rsidP="00162B44">
      <w:pPr>
        <w:ind w:left="708"/>
        <w:jc w:val="both"/>
        <w:rPr>
          <w:rFonts w:ascii="Arial" w:hAnsi="Arial" w:cs="Arial"/>
          <w:b/>
          <w:sz w:val="25"/>
          <w:szCs w:val="25"/>
        </w:rPr>
      </w:pPr>
      <w:r w:rsidRPr="00162B44">
        <w:rPr>
          <w:rFonts w:ascii="Arial" w:hAnsi="Arial" w:cs="Arial"/>
          <w:b/>
          <w:sz w:val="25"/>
          <w:szCs w:val="25"/>
        </w:rPr>
        <w:t>Activos totales (denominador)</w:t>
      </w:r>
      <w:r w:rsidRPr="00162B44">
        <w:rPr>
          <w:rFonts w:ascii="Arial" w:hAnsi="Arial" w:cs="Arial"/>
          <w:sz w:val="25"/>
          <w:szCs w:val="25"/>
        </w:rPr>
        <w:t>. Es igual al valor de la cuenta del Catálogo Único de Información Financiera con fines de supervisión 100000.</w:t>
      </w:r>
    </w:p>
    <w:p w14:paraId="03801AE9" w14:textId="77777777" w:rsidR="00162B44" w:rsidRDefault="00162B44" w:rsidP="00162B44">
      <w:pPr>
        <w:ind w:left="708"/>
        <w:jc w:val="both"/>
        <w:rPr>
          <w:rFonts w:ascii="Arial" w:hAnsi="Arial" w:cs="Arial"/>
          <w:b/>
          <w:sz w:val="25"/>
          <w:szCs w:val="25"/>
        </w:rPr>
      </w:pPr>
    </w:p>
    <w:p w14:paraId="5C4919F2" w14:textId="77777777" w:rsidR="00162B44" w:rsidRDefault="00AD6AB3" w:rsidP="00162B44">
      <w:pPr>
        <w:ind w:left="708"/>
        <w:jc w:val="both"/>
        <w:rPr>
          <w:rFonts w:ascii="Arial" w:hAnsi="Arial" w:cs="Arial"/>
          <w:b/>
          <w:sz w:val="25"/>
          <w:szCs w:val="25"/>
        </w:rPr>
      </w:pPr>
      <w:r w:rsidRPr="00162B44">
        <w:rPr>
          <w:rFonts w:ascii="Arial" w:hAnsi="Arial" w:cs="Arial"/>
          <w:b/>
          <w:sz w:val="25"/>
          <w:szCs w:val="25"/>
        </w:rPr>
        <w:t>4.</w:t>
      </w:r>
      <w:r w:rsidR="009000A1" w:rsidRPr="00162B44">
        <w:rPr>
          <w:rFonts w:ascii="Arial" w:hAnsi="Arial" w:cs="Arial"/>
          <w:b/>
          <w:sz w:val="25"/>
          <w:szCs w:val="25"/>
        </w:rPr>
        <w:t>6</w:t>
      </w:r>
      <w:r w:rsidRPr="00162B44">
        <w:rPr>
          <w:rFonts w:ascii="Arial" w:hAnsi="Arial" w:cs="Arial"/>
          <w:b/>
          <w:sz w:val="25"/>
          <w:szCs w:val="25"/>
        </w:rPr>
        <w:t>.2 Depósitos 5 depositantes más grandes / Pasivos totales</w:t>
      </w:r>
    </w:p>
    <w:p w14:paraId="5BA456B6" w14:textId="77777777" w:rsidR="00162B44" w:rsidRDefault="00162B44" w:rsidP="00162B44">
      <w:pPr>
        <w:ind w:left="708"/>
        <w:jc w:val="both"/>
        <w:rPr>
          <w:rFonts w:ascii="Arial" w:hAnsi="Arial" w:cs="Arial"/>
          <w:b/>
          <w:sz w:val="25"/>
          <w:szCs w:val="25"/>
        </w:rPr>
      </w:pPr>
    </w:p>
    <w:p w14:paraId="76C3857C" w14:textId="77777777" w:rsidR="00162B44" w:rsidRDefault="00AD6AB3" w:rsidP="00162B44">
      <w:pPr>
        <w:ind w:left="708"/>
        <w:jc w:val="both"/>
        <w:rPr>
          <w:rFonts w:ascii="Arial" w:hAnsi="Arial" w:cs="Arial"/>
          <w:b/>
          <w:sz w:val="25"/>
          <w:szCs w:val="25"/>
        </w:rPr>
      </w:pPr>
      <w:r w:rsidRPr="00700828">
        <w:rPr>
          <w:rFonts w:ascii="Arial" w:hAnsi="Arial" w:cs="Arial"/>
          <w:b/>
          <w:sz w:val="25"/>
          <w:szCs w:val="25"/>
        </w:rPr>
        <w:t>Depósitos 5 depositantes más grandes (numerador)</w:t>
      </w:r>
      <w:r w:rsidRPr="00700828">
        <w:rPr>
          <w:rFonts w:ascii="Arial" w:hAnsi="Arial" w:cs="Arial"/>
          <w:sz w:val="25"/>
          <w:szCs w:val="25"/>
        </w:rPr>
        <w:t>. Del Formato de Depósitos Individuales, para cada depositante se sumarán los saldos e intereses de todos los productos que posean con la entidad, registrados en los campos 24 y 26 del Registro Tipo 2</w:t>
      </w:r>
      <w:r w:rsidR="00216B4C" w:rsidRPr="00700828">
        <w:rPr>
          <w:rFonts w:ascii="Arial" w:hAnsi="Arial" w:cs="Arial"/>
          <w:sz w:val="25"/>
          <w:szCs w:val="25"/>
        </w:rPr>
        <w:t>, tomando en cuenta el signo del campo 25</w:t>
      </w:r>
      <w:r w:rsidRPr="00700828">
        <w:rPr>
          <w:rFonts w:ascii="Arial" w:hAnsi="Arial" w:cs="Arial"/>
          <w:sz w:val="25"/>
          <w:szCs w:val="25"/>
        </w:rPr>
        <w:t xml:space="preserve">. Cuando los depositantes tengan un producto en calidad de cotitulares, se dividirá el saldo total del producto (incluidos los intereses) </w:t>
      </w:r>
      <w:r w:rsidRPr="00700828">
        <w:rPr>
          <w:rFonts w:ascii="Arial" w:hAnsi="Arial" w:cs="Arial"/>
          <w:sz w:val="25"/>
          <w:szCs w:val="25"/>
        </w:rPr>
        <w:lastRenderedPageBreak/>
        <w:t>entre el número de titulares</w:t>
      </w:r>
      <w:r w:rsidR="00441006" w:rsidRPr="00700828">
        <w:rPr>
          <w:rFonts w:ascii="Arial" w:hAnsi="Arial" w:cs="Arial"/>
          <w:sz w:val="25"/>
          <w:szCs w:val="25"/>
        </w:rPr>
        <w:t xml:space="preserve"> y este resultado se sumará al saldo de los productos individuales que tenga cada titular</w:t>
      </w:r>
      <w:r w:rsidRPr="00700828">
        <w:rPr>
          <w:rFonts w:ascii="Arial" w:hAnsi="Arial" w:cs="Arial"/>
          <w:sz w:val="25"/>
          <w:szCs w:val="25"/>
        </w:rPr>
        <w:t>. Se ordenarán los depositantes de mayor a menor y para el cálculo del indicador, se sumarán los depósitos totales de los 5 depositantes más grandes.</w:t>
      </w:r>
    </w:p>
    <w:p w14:paraId="7905FB22" w14:textId="77777777" w:rsidR="00162B44" w:rsidRDefault="00162B44" w:rsidP="00162B44">
      <w:pPr>
        <w:ind w:left="708"/>
        <w:jc w:val="both"/>
        <w:rPr>
          <w:rFonts w:ascii="Arial" w:hAnsi="Arial" w:cs="Arial"/>
          <w:b/>
          <w:sz w:val="25"/>
          <w:szCs w:val="25"/>
        </w:rPr>
      </w:pPr>
    </w:p>
    <w:p w14:paraId="2766B586" w14:textId="45E4E3DA" w:rsidR="00AD6AB3" w:rsidRPr="00162B44" w:rsidRDefault="00AD6AB3" w:rsidP="00162B44">
      <w:pPr>
        <w:ind w:left="708"/>
        <w:jc w:val="both"/>
        <w:rPr>
          <w:rFonts w:ascii="Arial" w:hAnsi="Arial" w:cs="Arial"/>
          <w:b/>
          <w:sz w:val="25"/>
          <w:szCs w:val="25"/>
        </w:rPr>
      </w:pPr>
      <w:r w:rsidRPr="00162B44">
        <w:rPr>
          <w:rFonts w:ascii="Arial" w:hAnsi="Arial" w:cs="Arial"/>
          <w:b/>
          <w:sz w:val="25"/>
          <w:szCs w:val="25"/>
        </w:rPr>
        <w:t>Pasivos totales (denominador)</w:t>
      </w:r>
      <w:r w:rsidRPr="00162B44">
        <w:rPr>
          <w:rFonts w:ascii="Arial" w:hAnsi="Arial" w:cs="Arial"/>
          <w:sz w:val="25"/>
          <w:szCs w:val="25"/>
        </w:rPr>
        <w:t>. Es igual al valor de la cuenta del Catálogo Único de Información Financiera con fines de supervisión 200000.</w:t>
      </w:r>
    </w:p>
    <w:p w14:paraId="2A4E8ACE" w14:textId="38BC73B4" w:rsidR="00AD6AB3" w:rsidRDefault="00AD6AB3" w:rsidP="00641E69">
      <w:pPr>
        <w:pStyle w:val="Prrafodelista"/>
        <w:spacing w:after="0" w:line="240" w:lineRule="auto"/>
        <w:ind w:left="993"/>
        <w:jc w:val="both"/>
        <w:rPr>
          <w:rFonts w:ascii="Arial" w:hAnsi="Arial" w:cs="Arial"/>
          <w:sz w:val="25"/>
          <w:szCs w:val="25"/>
        </w:rPr>
      </w:pPr>
    </w:p>
    <w:p w14:paraId="0999F818" w14:textId="77777777" w:rsidR="009000A1" w:rsidRPr="008802DD" w:rsidRDefault="009000A1" w:rsidP="00641E69">
      <w:pPr>
        <w:pStyle w:val="Textoindependiente"/>
        <w:numPr>
          <w:ilvl w:val="1"/>
          <w:numId w:val="5"/>
        </w:numPr>
        <w:suppressAutoHyphens/>
        <w:rPr>
          <w:rFonts w:cs="Arial"/>
          <w:b/>
          <w:sz w:val="25"/>
          <w:szCs w:val="25"/>
        </w:rPr>
      </w:pPr>
      <w:proofErr w:type="spellStart"/>
      <w:r>
        <w:rPr>
          <w:rFonts w:cs="Arial"/>
          <w:b/>
          <w:sz w:val="25"/>
          <w:szCs w:val="25"/>
        </w:rPr>
        <w:t>Sistemicidad</w:t>
      </w:r>
      <w:proofErr w:type="spellEnd"/>
    </w:p>
    <w:p w14:paraId="72CF75BA" w14:textId="77777777" w:rsidR="009000A1" w:rsidRPr="008802DD" w:rsidRDefault="009000A1" w:rsidP="00641E69">
      <w:pPr>
        <w:pStyle w:val="Prrafodelista"/>
        <w:spacing w:after="0" w:line="240" w:lineRule="auto"/>
        <w:ind w:left="360"/>
        <w:jc w:val="both"/>
        <w:rPr>
          <w:rFonts w:ascii="Arial" w:hAnsi="Arial" w:cs="Arial"/>
          <w:sz w:val="25"/>
          <w:szCs w:val="25"/>
        </w:rPr>
      </w:pPr>
    </w:p>
    <w:p w14:paraId="38ADA5FD" w14:textId="77777777" w:rsidR="00162B44" w:rsidRDefault="009000A1" w:rsidP="00162B44">
      <w:pPr>
        <w:ind w:left="708"/>
        <w:jc w:val="both"/>
        <w:rPr>
          <w:rFonts w:ascii="Arial" w:hAnsi="Arial" w:cs="Arial"/>
          <w:b/>
          <w:sz w:val="25"/>
          <w:szCs w:val="25"/>
        </w:rPr>
      </w:pPr>
      <w:r w:rsidRPr="00162B44">
        <w:rPr>
          <w:rFonts w:ascii="Arial" w:hAnsi="Arial" w:cs="Arial"/>
          <w:b/>
          <w:sz w:val="25"/>
          <w:szCs w:val="25"/>
        </w:rPr>
        <w:t>4.</w:t>
      </w:r>
      <w:r w:rsidR="00740275" w:rsidRPr="00162B44">
        <w:rPr>
          <w:rFonts w:ascii="Arial" w:hAnsi="Arial" w:cs="Arial"/>
          <w:b/>
          <w:sz w:val="25"/>
          <w:szCs w:val="25"/>
        </w:rPr>
        <w:t>7</w:t>
      </w:r>
      <w:r w:rsidRPr="00162B44">
        <w:rPr>
          <w:rFonts w:ascii="Arial" w:hAnsi="Arial" w:cs="Arial"/>
          <w:b/>
          <w:sz w:val="25"/>
          <w:szCs w:val="25"/>
        </w:rPr>
        <w:t xml:space="preserve">.1 Indicador de </w:t>
      </w:r>
      <w:r w:rsidR="00592BB6" w:rsidRPr="00162B44">
        <w:rPr>
          <w:rFonts w:ascii="Arial" w:hAnsi="Arial" w:cs="Arial"/>
          <w:b/>
          <w:sz w:val="25"/>
          <w:szCs w:val="25"/>
        </w:rPr>
        <w:t xml:space="preserve">Entidades de Importancia Sistémica </w:t>
      </w:r>
      <w:r w:rsidR="00D206C8" w:rsidRPr="00162B44">
        <w:rPr>
          <w:rFonts w:ascii="Arial" w:hAnsi="Arial" w:cs="Arial"/>
          <w:b/>
          <w:sz w:val="25"/>
          <w:szCs w:val="25"/>
        </w:rPr>
        <w:t xml:space="preserve">(EIS) </w:t>
      </w:r>
      <w:r w:rsidR="00592BB6" w:rsidRPr="00162B44">
        <w:rPr>
          <w:rFonts w:ascii="Arial" w:hAnsi="Arial" w:cs="Arial"/>
          <w:b/>
          <w:sz w:val="25"/>
          <w:szCs w:val="25"/>
        </w:rPr>
        <w:t xml:space="preserve">de la </w:t>
      </w:r>
      <w:r w:rsidRPr="00162B44">
        <w:rPr>
          <w:rFonts w:ascii="Arial" w:hAnsi="Arial" w:cs="Arial"/>
          <w:b/>
          <w:sz w:val="25"/>
          <w:szCs w:val="25"/>
        </w:rPr>
        <w:t>Superintendencia Financiera de Colombia.</w:t>
      </w:r>
    </w:p>
    <w:p w14:paraId="517DB4E6" w14:textId="77777777" w:rsidR="00162B44" w:rsidRDefault="00162B44" w:rsidP="00162B44">
      <w:pPr>
        <w:ind w:left="708"/>
        <w:jc w:val="both"/>
        <w:rPr>
          <w:rFonts w:ascii="Arial" w:hAnsi="Arial" w:cs="Arial"/>
          <w:b/>
          <w:sz w:val="25"/>
          <w:szCs w:val="25"/>
        </w:rPr>
      </w:pPr>
    </w:p>
    <w:p w14:paraId="0B789007" w14:textId="78C5A5FC" w:rsidR="009000A1" w:rsidRPr="00162B44" w:rsidRDefault="00D206C8" w:rsidP="00162B44">
      <w:pPr>
        <w:ind w:left="708"/>
        <w:jc w:val="both"/>
        <w:rPr>
          <w:rFonts w:ascii="Arial" w:hAnsi="Arial" w:cs="Arial"/>
          <w:b/>
          <w:sz w:val="25"/>
          <w:szCs w:val="25"/>
        </w:rPr>
      </w:pPr>
      <w:r>
        <w:rPr>
          <w:rFonts w:ascii="Arial" w:hAnsi="Arial" w:cs="Arial"/>
        </w:rPr>
        <w:t>Este i</w:t>
      </w:r>
      <w:r w:rsidR="009000A1">
        <w:rPr>
          <w:rFonts w:ascii="Arial" w:hAnsi="Arial" w:cs="Arial"/>
        </w:rPr>
        <w:t xml:space="preserve">ndicador </w:t>
      </w:r>
      <w:r>
        <w:rPr>
          <w:rFonts w:ascii="Arial" w:hAnsi="Arial" w:cs="Arial"/>
        </w:rPr>
        <w:t xml:space="preserve">se tomará </w:t>
      </w:r>
      <w:r w:rsidR="009000A1">
        <w:rPr>
          <w:rFonts w:ascii="Arial" w:hAnsi="Arial" w:cs="Arial"/>
        </w:rPr>
        <w:t>del l</w:t>
      </w:r>
      <w:r w:rsidR="009000A1" w:rsidRPr="00AB7DAC">
        <w:rPr>
          <w:rFonts w:ascii="Arial" w:hAnsi="Arial" w:cs="Arial"/>
        </w:rPr>
        <w:t>istado de entidades con importancia sistémica publicado</w:t>
      </w:r>
      <w:r w:rsidR="009000A1">
        <w:rPr>
          <w:rFonts w:ascii="Arial" w:hAnsi="Arial" w:cs="Arial"/>
        </w:rPr>
        <w:t xml:space="preserve"> anualmente</w:t>
      </w:r>
      <w:r w:rsidR="009000A1" w:rsidRPr="00AB7DAC">
        <w:rPr>
          <w:rFonts w:ascii="Arial" w:hAnsi="Arial" w:cs="Arial"/>
        </w:rPr>
        <w:t xml:space="preserve"> por la Superintendencia Financiera</w:t>
      </w:r>
      <w:r w:rsidR="009000A1">
        <w:rPr>
          <w:rFonts w:ascii="Arial" w:hAnsi="Arial" w:cs="Arial"/>
        </w:rPr>
        <w:t xml:space="preserve"> de Colombia de acuerdo con lo estipulado en el numeral 2.2 del capítulo 13-16 de la Circular Básica Contable y Financiera. El valor del indicador se tomará en términos absolutos en lugar de porcentuales.</w:t>
      </w:r>
    </w:p>
    <w:p w14:paraId="5886AF14" w14:textId="77777777" w:rsidR="00805D9D" w:rsidRPr="008802DD" w:rsidRDefault="00805D9D" w:rsidP="00641E69">
      <w:pPr>
        <w:pStyle w:val="Prrafodelista"/>
        <w:spacing w:after="0" w:line="240" w:lineRule="auto"/>
        <w:ind w:left="993"/>
        <w:jc w:val="both"/>
        <w:rPr>
          <w:rFonts w:ascii="Arial" w:hAnsi="Arial" w:cs="Arial"/>
          <w:sz w:val="25"/>
          <w:szCs w:val="25"/>
        </w:rPr>
      </w:pPr>
    </w:p>
    <w:p w14:paraId="222FD25C" w14:textId="77777777" w:rsidR="008802DD" w:rsidRPr="008802DD" w:rsidRDefault="008802DD" w:rsidP="00641E69">
      <w:pPr>
        <w:pStyle w:val="Prrafodelista"/>
        <w:numPr>
          <w:ilvl w:val="0"/>
          <w:numId w:val="5"/>
        </w:numPr>
        <w:spacing w:after="0" w:line="240" w:lineRule="auto"/>
        <w:ind w:left="426" w:hanging="426"/>
        <w:jc w:val="both"/>
        <w:rPr>
          <w:rFonts w:ascii="Arial" w:hAnsi="Arial" w:cs="Arial"/>
          <w:b/>
          <w:sz w:val="25"/>
          <w:szCs w:val="25"/>
        </w:rPr>
      </w:pPr>
      <w:r w:rsidRPr="008802DD">
        <w:rPr>
          <w:rFonts w:ascii="Arial" w:hAnsi="Arial" w:cs="Arial"/>
          <w:b/>
          <w:sz w:val="25"/>
          <w:szCs w:val="25"/>
        </w:rPr>
        <w:t>CONSIDERACIONES ADICIONALES PARA EL CÁLCULO DE LA CALIFICACIÓN</w:t>
      </w:r>
    </w:p>
    <w:p w14:paraId="1FA5DEE1" w14:textId="77777777" w:rsidR="008802DD" w:rsidRPr="008802DD" w:rsidRDefault="008802DD" w:rsidP="00641E69">
      <w:pPr>
        <w:pStyle w:val="Prrafodelista"/>
        <w:spacing w:after="0" w:line="240" w:lineRule="auto"/>
        <w:ind w:left="426"/>
        <w:jc w:val="both"/>
        <w:rPr>
          <w:rFonts w:ascii="Arial" w:hAnsi="Arial" w:cs="Arial"/>
          <w:b/>
          <w:sz w:val="25"/>
          <w:szCs w:val="25"/>
        </w:rPr>
      </w:pPr>
    </w:p>
    <w:p w14:paraId="39640DD8" w14:textId="77777777" w:rsidR="008802DD" w:rsidRPr="008802DD" w:rsidRDefault="007D7E9F" w:rsidP="00641E69">
      <w:pPr>
        <w:pStyle w:val="Prrafodelista"/>
        <w:numPr>
          <w:ilvl w:val="1"/>
          <w:numId w:val="5"/>
        </w:numPr>
        <w:spacing w:after="0" w:line="240" w:lineRule="auto"/>
        <w:jc w:val="both"/>
        <w:rPr>
          <w:rFonts w:ascii="Arial" w:hAnsi="Arial" w:cs="Arial"/>
          <w:b/>
          <w:sz w:val="25"/>
          <w:szCs w:val="25"/>
        </w:rPr>
      </w:pPr>
      <w:r w:rsidRPr="008802DD">
        <w:rPr>
          <w:rFonts w:ascii="Arial" w:hAnsi="Arial" w:cs="Arial"/>
          <w:b/>
          <w:sz w:val="25"/>
          <w:szCs w:val="25"/>
        </w:rPr>
        <w:t xml:space="preserve">Metodología </w:t>
      </w:r>
      <w:r>
        <w:rPr>
          <w:rFonts w:ascii="Arial" w:hAnsi="Arial" w:cs="Arial"/>
          <w:b/>
          <w:sz w:val="25"/>
          <w:szCs w:val="25"/>
        </w:rPr>
        <w:t>d</w:t>
      </w:r>
      <w:r w:rsidRPr="008802DD">
        <w:rPr>
          <w:rFonts w:ascii="Arial" w:hAnsi="Arial" w:cs="Arial"/>
          <w:b/>
          <w:sz w:val="25"/>
          <w:szCs w:val="25"/>
        </w:rPr>
        <w:t xml:space="preserve">e </w:t>
      </w:r>
      <w:r>
        <w:rPr>
          <w:rFonts w:ascii="Arial" w:hAnsi="Arial" w:cs="Arial"/>
          <w:b/>
          <w:sz w:val="25"/>
          <w:szCs w:val="25"/>
        </w:rPr>
        <w:t>a</w:t>
      </w:r>
      <w:r w:rsidRPr="008802DD">
        <w:rPr>
          <w:rFonts w:ascii="Arial" w:hAnsi="Arial" w:cs="Arial"/>
          <w:b/>
          <w:sz w:val="25"/>
          <w:szCs w:val="25"/>
        </w:rPr>
        <w:t xml:space="preserve">nualización </w:t>
      </w:r>
      <w:r>
        <w:rPr>
          <w:rFonts w:ascii="Arial" w:hAnsi="Arial" w:cs="Arial"/>
          <w:b/>
          <w:sz w:val="25"/>
          <w:szCs w:val="25"/>
        </w:rPr>
        <w:t>d</w:t>
      </w:r>
      <w:r w:rsidRPr="008802DD">
        <w:rPr>
          <w:rFonts w:ascii="Arial" w:hAnsi="Arial" w:cs="Arial"/>
          <w:b/>
          <w:sz w:val="25"/>
          <w:szCs w:val="25"/>
        </w:rPr>
        <w:t xml:space="preserve">e </w:t>
      </w:r>
      <w:r>
        <w:rPr>
          <w:rFonts w:ascii="Arial" w:hAnsi="Arial" w:cs="Arial"/>
          <w:b/>
          <w:sz w:val="25"/>
          <w:szCs w:val="25"/>
        </w:rPr>
        <w:t>l</w:t>
      </w:r>
      <w:r w:rsidRPr="008802DD">
        <w:rPr>
          <w:rFonts w:ascii="Arial" w:hAnsi="Arial" w:cs="Arial"/>
          <w:b/>
          <w:sz w:val="25"/>
          <w:szCs w:val="25"/>
        </w:rPr>
        <w:t xml:space="preserve">as </w:t>
      </w:r>
      <w:r>
        <w:rPr>
          <w:rFonts w:ascii="Arial" w:hAnsi="Arial" w:cs="Arial"/>
          <w:b/>
          <w:sz w:val="25"/>
          <w:szCs w:val="25"/>
        </w:rPr>
        <w:t>c</w:t>
      </w:r>
      <w:r w:rsidRPr="008802DD">
        <w:rPr>
          <w:rFonts w:ascii="Arial" w:hAnsi="Arial" w:cs="Arial"/>
          <w:b/>
          <w:sz w:val="25"/>
          <w:szCs w:val="25"/>
        </w:rPr>
        <w:t xml:space="preserve">uentas </w:t>
      </w:r>
      <w:r>
        <w:rPr>
          <w:rFonts w:ascii="Arial" w:hAnsi="Arial" w:cs="Arial"/>
          <w:b/>
          <w:sz w:val="25"/>
          <w:szCs w:val="25"/>
        </w:rPr>
        <w:t>d</w:t>
      </w:r>
      <w:r w:rsidRPr="008802DD">
        <w:rPr>
          <w:rFonts w:ascii="Arial" w:hAnsi="Arial" w:cs="Arial"/>
          <w:b/>
          <w:sz w:val="25"/>
          <w:szCs w:val="25"/>
        </w:rPr>
        <w:t xml:space="preserve">el </w:t>
      </w:r>
      <w:r>
        <w:rPr>
          <w:rFonts w:ascii="Arial" w:hAnsi="Arial" w:cs="Arial"/>
          <w:b/>
          <w:sz w:val="25"/>
          <w:szCs w:val="25"/>
        </w:rPr>
        <w:t>e</w:t>
      </w:r>
      <w:r w:rsidRPr="008802DD">
        <w:rPr>
          <w:rFonts w:ascii="Arial" w:hAnsi="Arial" w:cs="Arial"/>
          <w:b/>
          <w:sz w:val="25"/>
          <w:szCs w:val="25"/>
        </w:rPr>
        <w:t xml:space="preserve">stado </w:t>
      </w:r>
      <w:r>
        <w:rPr>
          <w:rFonts w:ascii="Arial" w:hAnsi="Arial" w:cs="Arial"/>
          <w:b/>
          <w:sz w:val="25"/>
          <w:szCs w:val="25"/>
        </w:rPr>
        <w:t>d</w:t>
      </w:r>
      <w:r w:rsidRPr="008802DD">
        <w:rPr>
          <w:rFonts w:ascii="Arial" w:hAnsi="Arial" w:cs="Arial"/>
          <w:b/>
          <w:sz w:val="25"/>
          <w:szCs w:val="25"/>
        </w:rPr>
        <w:t xml:space="preserve">e </w:t>
      </w:r>
      <w:r>
        <w:rPr>
          <w:rFonts w:ascii="Arial" w:hAnsi="Arial" w:cs="Arial"/>
          <w:b/>
          <w:sz w:val="25"/>
          <w:szCs w:val="25"/>
        </w:rPr>
        <w:t>p</w:t>
      </w:r>
      <w:r w:rsidRPr="008802DD">
        <w:rPr>
          <w:rFonts w:ascii="Arial" w:hAnsi="Arial" w:cs="Arial"/>
          <w:b/>
          <w:sz w:val="25"/>
          <w:szCs w:val="25"/>
        </w:rPr>
        <w:t xml:space="preserve">érdidas </w:t>
      </w:r>
      <w:r>
        <w:rPr>
          <w:rFonts w:ascii="Arial" w:hAnsi="Arial" w:cs="Arial"/>
          <w:b/>
          <w:sz w:val="25"/>
          <w:szCs w:val="25"/>
        </w:rPr>
        <w:t>y</w:t>
      </w:r>
      <w:r w:rsidRPr="008802DD">
        <w:rPr>
          <w:rFonts w:ascii="Arial" w:hAnsi="Arial" w:cs="Arial"/>
          <w:b/>
          <w:sz w:val="25"/>
          <w:szCs w:val="25"/>
        </w:rPr>
        <w:t xml:space="preserve"> </w:t>
      </w:r>
      <w:r>
        <w:rPr>
          <w:rFonts w:ascii="Arial" w:hAnsi="Arial" w:cs="Arial"/>
          <w:b/>
          <w:sz w:val="25"/>
          <w:szCs w:val="25"/>
        </w:rPr>
        <w:t>g</w:t>
      </w:r>
      <w:r w:rsidRPr="008802DD">
        <w:rPr>
          <w:rFonts w:ascii="Arial" w:hAnsi="Arial" w:cs="Arial"/>
          <w:b/>
          <w:sz w:val="25"/>
          <w:szCs w:val="25"/>
        </w:rPr>
        <w:t>anancias</w:t>
      </w:r>
      <w:r w:rsidR="008802DD" w:rsidRPr="008802DD">
        <w:rPr>
          <w:rFonts w:ascii="Arial" w:hAnsi="Arial" w:cs="Arial"/>
          <w:b/>
          <w:sz w:val="25"/>
          <w:szCs w:val="25"/>
        </w:rPr>
        <w:t xml:space="preserve"> (P&amp;G)</w:t>
      </w:r>
    </w:p>
    <w:p w14:paraId="6394DCE8" w14:textId="77777777" w:rsidR="00042221" w:rsidRDefault="00042221" w:rsidP="00042221">
      <w:pPr>
        <w:jc w:val="both"/>
        <w:rPr>
          <w:rFonts w:ascii="Arial" w:hAnsi="Arial" w:cs="Arial"/>
          <w:sz w:val="25"/>
          <w:szCs w:val="25"/>
        </w:rPr>
      </w:pPr>
    </w:p>
    <w:p w14:paraId="4EC40EFA" w14:textId="2F72D652" w:rsidR="008802DD" w:rsidRPr="00042221" w:rsidRDefault="008802DD" w:rsidP="00042221">
      <w:pPr>
        <w:ind w:left="360"/>
        <w:jc w:val="both"/>
        <w:rPr>
          <w:rFonts w:ascii="Arial" w:hAnsi="Arial" w:cs="Arial"/>
          <w:sz w:val="25"/>
          <w:szCs w:val="25"/>
        </w:rPr>
      </w:pPr>
      <w:r w:rsidRPr="00042221">
        <w:rPr>
          <w:rFonts w:ascii="Arial" w:hAnsi="Arial" w:cs="Arial"/>
          <w:sz w:val="25"/>
          <w:szCs w:val="25"/>
        </w:rPr>
        <w:t xml:space="preserve">Cada una de las cuentas del estado de pérdidas y ganancias (cuentas de la 400000 a la 590000) utilizadas en el proceso del cálculo de los indicadores, debe estar anualizada. La </w:t>
      </w:r>
      <w:proofErr w:type="spellStart"/>
      <w:r w:rsidRPr="00042221">
        <w:rPr>
          <w:rFonts w:ascii="Arial" w:hAnsi="Arial" w:cs="Arial"/>
          <w:sz w:val="25"/>
          <w:szCs w:val="25"/>
        </w:rPr>
        <w:t>anualización</w:t>
      </w:r>
      <w:proofErr w:type="spellEnd"/>
      <w:r w:rsidRPr="00042221">
        <w:rPr>
          <w:rFonts w:ascii="Arial" w:hAnsi="Arial" w:cs="Arial"/>
          <w:sz w:val="25"/>
          <w:szCs w:val="25"/>
        </w:rPr>
        <w:t xml:space="preserve"> consiste en sumar los últimos 12 meses del valor mensual de la cuenta, no el valor acumulado. </w:t>
      </w:r>
    </w:p>
    <w:p w14:paraId="527F708D" w14:textId="77777777" w:rsidR="007107D3" w:rsidRDefault="007107D3" w:rsidP="00641E69">
      <w:pPr>
        <w:pStyle w:val="Prrafodelista"/>
        <w:spacing w:after="0" w:line="240" w:lineRule="auto"/>
        <w:ind w:left="709"/>
        <w:jc w:val="both"/>
        <w:rPr>
          <w:rFonts w:ascii="Arial" w:hAnsi="Arial" w:cs="Arial"/>
          <w:b/>
          <w:sz w:val="25"/>
          <w:szCs w:val="25"/>
        </w:rPr>
      </w:pPr>
    </w:p>
    <w:p w14:paraId="29401D0D" w14:textId="77777777" w:rsidR="00042221" w:rsidRDefault="007D7E9F" w:rsidP="00042221">
      <w:pPr>
        <w:pStyle w:val="Prrafodelista"/>
        <w:numPr>
          <w:ilvl w:val="1"/>
          <w:numId w:val="5"/>
        </w:numPr>
        <w:spacing w:after="0" w:line="240" w:lineRule="auto"/>
        <w:jc w:val="both"/>
        <w:rPr>
          <w:rFonts w:ascii="Arial" w:hAnsi="Arial" w:cs="Arial"/>
          <w:b/>
          <w:sz w:val="25"/>
          <w:szCs w:val="25"/>
        </w:rPr>
      </w:pPr>
      <w:r>
        <w:rPr>
          <w:rFonts w:ascii="Arial" w:hAnsi="Arial" w:cs="Arial"/>
          <w:b/>
          <w:sz w:val="25"/>
          <w:szCs w:val="25"/>
        </w:rPr>
        <w:t xml:space="preserve"> N</w:t>
      </w:r>
      <w:r w:rsidRPr="008802DD">
        <w:rPr>
          <w:rFonts w:ascii="Arial" w:hAnsi="Arial" w:cs="Arial"/>
          <w:b/>
          <w:sz w:val="25"/>
          <w:szCs w:val="25"/>
        </w:rPr>
        <w:t>úmero de decimales utilizados en el cálculo de los indicadores</w:t>
      </w:r>
    </w:p>
    <w:p w14:paraId="0AD822D0" w14:textId="77777777" w:rsidR="00042221" w:rsidRDefault="00042221" w:rsidP="00042221">
      <w:pPr>
        <w:ind w:left="360"/>
        <w:jc w:val="both"/>
        <w:rPr>
          <w:rFonts w:ascii="Arial" w:hAnsi="Arial" w:cs="Arial"/>
          <w:sz w:val="25"/>
          <w:szCs w:val="25"/>
        </w:rPr>
      </w:pPr>
    </w:p>
    <w:p w14:paraId="28D12612" w14:textId="77777777" w:rsidR="00042221" w:rsidRDefault="008802DD" w:rsidP="00042221">
      <w:pPr>
        <w:ind w:left="360"/>
        <w:jc w:val="both"/>
        <w:rPr>
          <w:rFonts w:ascii="Arial" w:hAnsi="Arial" w:cs="Arial"/>
          <w:b/>
          <w:sz w:val="25"/>
          <w:szCs w:val="25"/>
        </w:rPr>
      </w:pPr>
      <w:r w:rsidRPr="00042221">
        <w:rPr>
          <w:rFonts w:ascii="Arial" w:hAnsi="Arial" w:cs="Arial"/>
          <w:sz w:val="25"/>
          <w:szCs w:val="25"/>
        </w:rPr>
        <w:t>Los indicadores financieros de capital, activos, gestión</w:t>
      </w:r>
      <w:r w:rsidR="00E9206D" w:rsidRPr="00042221">
        <w:rPr>
          <w:rFonts w:ascii="Arial" w:hAnsi="Arial" w:cs="Arial"/>
          <w:sz w:val="25"/>
          <w:szCs w:val="25"/>
        </w:rPr>
        <w:t>,</w:t>
      </w:r>
      <w:r w:rsidRPr="00042221">
        <w:rPr>
          <w:rFonts w:ascii="Arial" w:hAnsi="Arial" w:cs="Arial"/>
          <w:sz w:val="25"/>
          <w:szCs w:val="25"/>
        </w:rPr>
        <w:t xml:space="preserve"> rentabilidad</w:t>
      </w:r>
      <w:r w:rsidR="008F7C3C" w:rsidRPr="00042221">
        <w:rPr>
          <w:rFonts w:ascii="Arial" w:hAnsi="Arial" w:cs="Arial"/>
          <w:sz w:val="25"/>
          <w:szCs w:val="25"/>
        </w:rPr>
        <w:t xml:space="preserve">, </w:t>
      </w:r>
      <w:r w:rsidRPr="00042221">
        <w:rPr>
          <w:rFonts w:ascii="Arial" w:hAnsi="Arial" w:cs="Arial"/>
          <w:sz w:val="25"/>
          <w:szCs w:val="25"/>
        </w:rPr>
        <w:t>liquidez</w:t>
      </w:r>
      <w:r w:rsidR="001D5B74" w:rsidRPr="00042221">
        <w:rPr>
          <w:rFonts w:ascii="Arial" w:hAnsi="Arial" w:cs="Arial"/>
          <w:sz w:val="25"/>
          <w:szCs w:val="25"/>
        </w:rPr>
        <w:t>,</w:t>
      </w:r>
      <w:r w:rsidR="008F7C3C" w:rsidRPr="00042221">
        <w:rPr>
          <w:rFonts w:ascii="Arial" w:hAnsi="Arial" w:cs="Arial"/>
          <w:sz w:val="25"/>
          <w:szCs w:val="25"/>
        </w:rPr>
        <w:t xml:space="preserve"> concentración</w:t>
      </w:r>
      <w:r w:rsidRPr="00042221">
        <w:rPr>
          <w:rFonts w:ascii="Arial" w:hAnsi="Arial" w:cs="Arial"/>
          <w:sz w:val="25"/>
          <w:szCs w:val="25"/>
        </w:rPr>
        <w:t xml:space="preserve"> que conforman la calificación, se aproximarán a dos decimales.</w:t>
      </w:r>
      <w:r w:rsidR="00164720" w:rsidRPr="00042221">
        <w:rPr>
          <w:rFonts w:ascii="Arial" w:hAnsi="Arial" w:cs="Arial"/>
          <w:sz w:val="25"/>
          <w:szCs w:val="25"/>
        </w:rPr>
        <w:t xml:space="preserve"> El valor de </w:t>
      </w:r>
      <w:proofErr w:type="spellStart"/>
      <w:r w:rsidR="00164720" w:rsidRPr="00042221">
        <w:rPr>
          <w:rFonts w:ascii="Arial" w:hAnsi="Arial" w:cs="Arial"/>
          <w:sz w:val="25"/>
          <w:szCs w:val="25"/>
        </w:rPr>
        <w:t>sistemicidad</w:t>
      </w:r>
      <w:proofErr w:type="spellEnd"/>
      <w:r w:rsidR="00164720" w:rsidRPr="00042221">
        <w:rPr>
          <w:rFonts w:ascii="Arial" w:hAnsi="Arial" w:cs="Arial"/>
          <w:sz w:val="25"/>
          <w:szCs w:val="25"/>
        </w:rPr>
        <w:t xml:space="preserve"> se utiliza a cuatro decimales en su valor nominal. </w:t>
      </w:r>
    </w:p>
    <w:p w14:paraId="0A89928C" w14:textId="77777777" w:rsidR="00042221" w:rsidRDefault="00042221" w:rsidP="00042221">
      <w:pPr>
        <w:ind w:left="708"/>
        <w:jc w:val="both"/>
        <w:rPr>
          <w:rFonts w:ascii="Arial" w:hAnsi="Arial" w:cs="Arial"/>
          <w:b/>
          <w:sz w:val="25"/>
          <w:szCs w:val="25"/>
        </w:rPr>
      </w:pPr>
    </w:p>
    <w:p w14:paraId="4C4A80D2" w14:textId="7AAE4492" w:rsidR="00BE2418" w:rsidRPr="00042221" w:rsidRDefault="00BE2418" w:rsidP="00042221">
      <w:pPr>
        <w:ind w:left="360"/>
        <w:jc w:val="both"/>
        <w:rPr>
          <w:rFonts w:ascii="Arial" w:hAnsi="Arial" w:cs="Arial"/>
          <w:b/>
          <w:sz w:val="25"/>
          <w:szCs w:val="25"/>
        </w:rPr>
      </w:pPr>
      <w:r>
        <w:rPr>
          <w:rFonts w:ascii="Arial" w:hAnsi="Arial" w:cs="Arial"/>
          <w:sz w:val="25"/>
          <w:szCs w:val="25"/>
        </w:rPr>
        <w:t>Así mismo, la calificación mensual, la calificación trimestral y el porcentaje de devolución se debe redondear a dos cifras decimales.</w:t>
      </w:r>
    </w:p>
    <w:p w14:paraId="27C02D3C" w14:textId="77777777" w:rsidR="008802DD" w:rsidRPr="008802DD" w:rsidRDefault="008802DD" w:rsidP="00641E69">
      <w:pPr>
        <w:ind w:left="993"/>
        <w:jc w:val="both"/>
        <w:rPr>
          <w:rFonts w:ascii="Arial" w:hAnsi="Arial" w:cs="Arial"/>
          <w:sz w:val="25"/>
          <w:szCs w:val="25"/>
        </w:rPr>
      </w:pPr>
    </w:p>
    <w:p w14:paraId="129411B2" w14:textId="77777777" w:rsidR="008802DD" w:rsidRPr="008802DD" w:rsidRDefault="007D7E9F" w:rsidP="00641E69">
      <w:pPr>
        <w:pStyle w:val="Prrafodelista"/>
        <w:numPr>
          <w:ilvl w:val="1"/>
          <w:numId w:val="5"/>
        </w:numPr>
        <w:spacing w:after="0" w:line="240" w:lineRule="auto"/>
        <w:jc w:val="both"/>
        <w:rPr>
          <w:rFonts w:ascii="Arial" w:hAnsi="Arial" w:cs="Arial"/>
          <w:b/>
          <w:sz w:val="25"/>
          <w:szCs w:val="25"/>
        </w:rPr>
      </w:pPr>
      <w:r>
        <w:rPr>
          <w:rFonts w:ascii="Arial" w:hAnsi="Arial" w:cs="Arial"/>
          <w:b/>
          <w:sz w:val="25"/>
          <w:szCs w:val="25"/>
        </w:rPr>
        <w:t xml:space="preserve"> C</w:t>
      </w:r>
      <w:r w:rsidRPr="008802DD">
        <w:rPr>
          <w:rFonts w:ascii="Arial" w:hAnsi="Arial" w:cs="Arial"/>
          <w:b/>
          <w:sz w:val="25"/>
          <w:szCs w:val="25"/>
        </w:rPr>
        <w:t>ierres contables</w:t>
      </w:r>
    </w:p>
    <w:p w14:paraId="5577844C" w14:textId="77777777" w:rsidR="008802DD" w:rsidRPr="008802DD" w:rsidRDefault="008802DD" w:rsidP="00641E69">
      <w:pPr>
        <w:pStyle w:val="Prrafodelista"/>
        <w:spacing w:after="0" w:line="240" w:lineRule="auto"/>
        <w:ind w:left="792"/>
        <w:jc w:val="both"/>
        <w:rPr>
          <w:rFonts w:ascii="Arial" w:hAnsi="Arial" w:cs="Arial"/>
          <w:sz w:val="25"/>
          <w:szCs w:val="25"/>
        </w:rPr>
      </w:pPr>
    </w:p>
    <w:p w14:paraId="651B3F02" w14:textId="68F2FE60" w:rsidR="008802DD" w:rsidRDefault="008802DD" w:rsidP="00042221">
      <w:pPr>
        <w:pStyle w:val="Prrafodelista"/>
        <w:spacing w:after="0" w:line="240" w:lineRule="auto"/>
        <w:ind w:left="360"/>
        <w:jc w:val="both"/>
        <w:rPr>
          <w:rFonts w:ascii="Arial" w:hAnsi="Arial" w:cs="Arial"/>
          <w:sz w:val="25"/>
          <w:szCs w:val="25"/>
        </w:rPr>
      </w:pPr>
      <w:r w:rsidRPr="008802DD">
        <w:rPr>
          <w:rFonts w:ascii="Arial" w:hAnsi="Arial" w:cs="Arial"/>
          <w:sz w:val="25"/>
          <w:szCs w:val="25"/>
        </w:rPr>
        <w:t>El Fondo validará con la Superintendencia Financiera de Colombia los cierres contables de las entidades inscritas.</w:t>
      </w:r>
    </w:p>
    <w:p w14:paraId="2C409B62" w14:textId="40D97095" w:rsidR="00996085" w:rsidRDefault="00996085" w:rsidP="00641E69">
      <w:pPr>
        <w:jc w:val="both"/>
        <w:rPr>
          <w:rFonts w:ascii="Arial" w:hAnsi="Arial" w:cs="Arial"/>
          <w:sz w:val="25"/>
          <w:szCs w:val="25"/>
        </w:rPr>
      </w:pPr>
    </w:p>
    <w:p w14:paraId="70C0E42F" w14:textId="77777777" w:rsidR="007322E2" w:rsidRDefault="007322E2" w:rsidP="00641E69">
      <w:pPr>
        <w:jc w:val="both"/>
        <w:rPr>
          <w:rFonts w:ascii="Arial" w:hAnsi="Arial" w:cs="Arial"/>
          <w:sz w:val="25"/>
          <w:szCs w:val="25"/>
        </w:rPr>
      </w:pPr>
    </w:p>
    <w:p w14:paraId="7DF1C5B7" w14:textId="07491AF9" w:rsidR="00050CC6" w:rsidRDefault="00050CC6" w:rsidP="00641E69">
      <w:pPr>
        <w:numPr>
          <w:ilvl w:val="0"/>
          <w:numId w:val="5"/>
        </w:numPr>
        <w:jc w:val="both"/>
        <w:rPr>
          <w:rFonts w:ascii="Arial" w:hAnsi="Arial" w:cs="Arial"/>
          <w:b/>
          <w:sz w:val="25"/>
          <w:szCs w:val="25"/>
          <w:lang w:val="es-CO" w:eastAsia="en-US"/>
        </w:rPr>
      </w:pPr>
      <w:r>
        <w:rPr>
          <w:rFonts w:ascii="Arial" w:hAnsi="Arial" w:cs="Arial"/>
          <w:b/>
          <w:sz w:val="25"/>
          <w:szCs w:val="25"/>
          <w:lang w:val="es-CO" w:eastAsia="en-US"/>
        </w:rPr>
        <w:lastRenderedPageBreak/>
        <w:t xml:space="preserve">CÁLCULO </w:t>
      </w:r>
      <w:r w:rsidRPr="00E9206D">
        <w:rPr>
          <w:rFonts w:ascii="Arial" w:hAnsi="Arial" w:cs="Arial"/>
          <w:b/>
          <w:sz w:val="25"/>
          <w:szCs w:val="25"/>
          <w:lang w:val="es-CO" w:eastAsia="en-US"/>
        </w:rPr>
        <w:t xml:space="preserve">Y </w:t>
      </w:r>
      <w:r w:rsidR="009A7736">
        <w:rPr>
          <w:rFonts w:ascii="Arial" w:hAnsi="Arial" w:cs="Arial"/>
          <w:b/>
          <w:sz w:val="25"/>
          <w:szCs w:val="25"/>
          <w:lang w:val="es-CO" w:eastAsia="en-US"/>
        </w:rPr>
        <w:t>LIQUIDACIÓN</w:t>
      </w:r>
      <w:r>
        <w:rPr>
          <w:rFonts w:ascii="Arial" w:hAnsi="Arial" w:cs="Arial"/>
          <w:b/>
          <w:sz w:val="25"/>
          <w:szCs w:val="25"/>
          <w:lang w:val="es-CO" w:eastAsia="en-US"/>
        </w:rPr>
        <w:t xml:space="preserve"> DE LA </w:t>
      </w:r>
      <w:r w:rsidRPr="008802DD">
        <w:rPr>
          <w:rFonts w:ascii="Arial" w:hAnsi="Arial" w:cs="Arial"/>
          <w:b/>
          <w:sz w:val="25"/>
          <w:szCs w:val="25"/>
          <w:lang w:val="es-CO" w:eastAsia="en-US"/>
        </w:rPr>
        <w:t>PRIMA A CARGO DE LAS ENTIDADES</w:t>
      </w:r>
    </w:p>
    <w:p w14:paraId="4610C590" w14:textId="0C77F4D1" w:rsidR="00381F55" w:rsidRDefault="00381F55" w:rsidP="00641E69">
      <w:pPr>
        <w:jc w:val="both"/>
        <w:rPr>
          <w:rFonts w:ascii="Arial" w:hAnsi="Arial" w:cs="Arial"/>
          <w:b/>
          <w:sz w:val="25"/>
          <w:szCs w:val="25"/>
          <w:lang w:val="es-CO" w:eastAsia="en-US"/>
        </w:rPr>
      </w:pPr>
    </w:p>
    <w:p w14:paraId="0EFF430C" w14:textId="1E9943AB" w:rsidR="00381F55" w:rsidRDefault="00853B5D" w:rsidP="00641E69">
      <w:pPr>
        <w:numPr>
          <w:ilvl w:val="1"/>
          <w:numId w:val="5"/>
        </w:numPr>
        <w:jc w:val="both"/>
        <w:rPr>
          <w:rFonts w:ascii="Arial" w:hAnsi="Arial" w:cs="Arial"/>
          <w:b/>
          <w:sz w:val="25"/>
          <w:szCs w:val="25"/>
          <w:lang w:val="es-CO" w:eastAsia="en-US"/>
        </w:rPr>
      </w:pPr>
      <w:r>
        <w:rPr>
          <w:rFonts w:ascii="Arial" w:hAnsi="Arial" w:cs="Arial"/>
          <w:b/>
          <w:sz w:val="25"/>
          <w:szCs w:val="25"/>
          <w:lang w:val="es-CO" w:eastAsia="en-US"/>
        </w:rPr>
        <w:t xml:space="preserve"> </w:t>
      </w:r>
      <w:r w:rsidR="00381F55" w:rsidRPr="008802DD">
        <w:rPr>
          <w:rFonts w:ascii="Arial" w:hAnsi="Arial" w:cs="Arial"/>
          <w:b/>
          <w:sz w:val="25"/>
          <w:szCs w:val="25"/>
          <w:lang w:val="es-CO" w:eastAsia="en-US"/>
        </w:rPr>
        <w:t xml:space="preserve">Cálculo de la prima </w:t>
      </w:r>
      <w:r w:rsidR="00381F55">
        <w:rPr>
          <w:rFonts w:ascii="Arial" w:hAnsi="Arial" w:cs="Arial"/>
          <w:b/>
          <w:sz w:val="25"/>
          <w:szCs w:val="25"/>
          <w:lang w:val="es-CO" w:eastAsia="en-US"/>
        </w:rPr>
        <w:t>y la calificación de las entidades</w:t>
      </w:r>
    </w:p>
    <w:p w14:paraId="78C5AA38" w14:textId="6545DE4D" w:rsidR="00CA76DA" w:rsidRDefault="00CA76DA" w:rsidP="00CA76DA">
      <w:pPr>
        <w:ind w:left="792"/>
        <w:jc w:val="both"/>
        <w:rPr>
          <w:rFonts w:ascii="Arial" w:hAnsi="Arial" w:cs="Arial"/>
          <w:b/>
          <w:sz w:val="25"/>
          <w:szCs w:val="25"/>
          <w:lang w:val="es-CO" w:eastAsia="en-US"/>
        </w:rPr>
      </w:pPr>
    </w:p>
    <w:p w14:paraId="4FAE7D60" w14:textId="77777777" w:rsidR="00CA76DA" w:rsidRDefault="00CA76DA" w:rsidP="00CA76DA">
      <w:pPr>
        <w:pStyle w:val="Prrafodelista"/>
        <w:spacing w:after="0" w:line="240" w:lineRule="auto"/>
        <w:ind w:left="360"/>
        <w:jc w:val="both"/>
        <w:rPr>
          <w:rFonts w:ascii="Arial" w:hAnsi="Arial" w:cs="Arial"/>
          <w:sz w:val="25"/>
          <w:szCs w:val="25"/>
        </w:rPr>
      </w:pPr>
      <w:r>
        <w:rPr>
          <w:rFonts w:ascii="Arial" w:hAnsi="Arial" w:cs="Arial"/>
          <w:sz w:val="25"/>
          <w:szCs w:val="25"/>
        </w:rPr>
        <w:t xml:space="preserve">El aplicativo de Cálculo y Liquidación de la prima de Seguro de Depósitos es la herramienta dispuesta por el Fondo para que las entidades inscritas realicen el cálculo y validación de la calificación y prima a su cargo. </w:t>
      </w:r>
    </w:p>
    <w:p w14:paraId="740CB406" w14:textId="77777777" w:rsidR="00CA76DA" w:rsidRDefault="00CA76DA" w:rsidP="00CA76DA">
      <w:pPr>
        <w:pStyle w:val="Prrafodelista"/>
        <w:spacing w:after="0" w:line="240" w:lineRule="auto"/>
        <w:ind w:left="360"/>
        <w:jc w:val="both"/>
        <w:rPr>
          <w:rFonts w:ascii="Arial" w:hAnsi="Arial" w:cs="Arial"/>
          <w:sz w:val="25"/>
          <w:szCs w:val="25"/>
        </w:rPr>
      </w:pPr>
    </w:p>
    <w:p w14:paraId="26633674" w14:textId="77777777" w:rsidR="00CA76DA" w:rsidRDefault="00CA76DA" w:rsidP="00CA76DA">
      <w:pPr>
        <w:pStyle w:val="Prrafodelista"/>
        <w:spacing w:after="0" w:line="240" w:lineRule="auto"/>
        <w:ind w:left="360"/>
        <w:jc w:val="both"/>
        <w:rPr>
          <w:rFonts w:ascii="Arial" w:hAnsi="Arial" w:cs="Arial"/>
          <w:sz w:val="25"/>
          <w:szCs w:val="25"/>
        </w:rPr>
      </w:pPr>
      <w:r>
        <w:rPr>
          <w:rFonts w:ascii="Arial" w:hAnsi="Arial" w:cs="Arial"/>
          <w:sz w:val="25"/>
          <w:szCs w:val="25"/>
        </w:rPr>
        <w:t xml:space="preserve">Se puede acceder al aplicativo a través del siguiente enlace </w:t>
      </w:r>
      <w:hyperlink r:id="rId15" w:history="1">
        <w:r w:rsidRPr="00000F21">
          <w:rPr>
            <w:rStyle w:val="Hipervnculo"/>
            <w:rFonts w:ascii="Arial" w:hAnsi="Arial" w:cs="Arial"/>
            <w:sz w:val="25"/>
            <w:szCs w:val="25"/>
          </w:rPr>
          <w:t>https://scnpsd.fogafin.gov.co</w:t>
        </w:r>
      </w:hyperlink>
      <w:r>
        <w:rPr>
          <w:rFonts w:ascii="Arial" w:hAnsi="Arial" w:cs="Arial"/>
          <w:sz w:val="25"/>
          <w:szCs w:val="25"/>
        </w:rPr>
        <w:t xml:space="preserve">. La aplicación, cuenta con un manual de usuario, preguntas frecuentas y datos de contacto para facilitar su uso. </w:t>
      </w:r>
    </w:p>
    <w:p w14:paraId="472CC5C0" w14:textId="77777777" w:rsidR="00CA76DA" w:rsidRDefault="00CA76DA" w:rsidP="00CA76DA">
      <w:pPr>
        <w:jc w:val="both"/>
        <w:rPr>
          <w:rFonts w:ascii="Arial" w:hAnsi="Arial" w:cs="Arial"/>
          <w:b/>
          <w:bCs/>
          <w:sz w:val="25"/>
          <w:szCs w:val="25"/>
        </w:rPr>
      </w:pPr>
    </w:p>
    <w:p w14:paraId="1BAB26C7" w14:textId="77777777" w:rsidR="00CA76DA" w:rsidRDefault="00CA76DA" w:rsidP="00CA76DA">
      <w:pPr>
        <w:ind w:left="708"/>
        <w:jc w:val="both"/>
        <w:rPr>
          <w:rFonts w:ascii="Arial" w:hAnsi="Arial" w:cs="Arial"/>
          <w:b/>
          <w:bCs/>
          <w:sz w:val="25"/>
          <w:szCs w:val="25"/>
        </w:rPr>
      </w:pPr>
      <w:r w:rsidRPr="00CA76DA">
        <w:rPr>
          <w:rFonts w:ascii="Arial" w:hAnsi="Arial" w:cs="Arial"/>
          <w:b/>
          <w:bCs/>
          <w:sz w:val="25"/>
          <w:szCs w:val="25"/>
        </w:rPr>
        <w:t>6.1.1 Creación de usuarios</w:t>
      </w:r>
    </w:p>
    <w:p w14:paraId="0FFB5379" w14:textId="77777777" w:rsidR="00CA76DA" w:rsidRDefault="00CA76DA" w:rsidP="00CA76DA">
      <w:pPr>
        <w:ind w:left="708"/>
        <w:jc w:val="both"/>
        <w:rPr>
          <w:rFonts w:ascii="Arial" w:hAnsi="Arial" w:cs="Arial"/>
          <w:b/>
          <w:bCs/>
          <w:sz w:val="25"/>
          <w:szCs w:val="25"/>
        </w:rPr>
      </w:pPr>
    </w:p>
    <w:p w14:paraId="37BDFEC2" w14:textId="77777777" w:rsidR="00CA76DA" w:rsidRDefault="00CA76DA" w:rsidP="00CA76DA">
      <w:pPr>
        <w:ind w:left="708"/>
        <w:jc w:val="both"/>
        <w:rPr>
          <w:rFonts w:ascii="Arial" w:hAnsi="Arial" w:cs="Arial"/>
          <w:b/>
          <w:bCs/>
          <w:sz w:val="25"/>
          <w:szCs w:val="25"/>
        </w:rPr>
      </w:pPr>
      <w:r w:rsidRPr="00CA76DA">
        <w:rPr>
          <w:rFonts w:ascii="Arial" w:hAnsi="Arial" w:cs="Arial"/>
          <w:sz w:val="25"/>
          <w:szCs w:val="25"/>
        </w:rPr>
        <w:t>Para el ingreso y uso del servicio, se requerirá que la entidad inscrita cuente como mínimo con un usuario registrado en la herramienta tecnológica, para lo cual deberá diligenciar y remitir a la dirección de correo electrónico recaudos@fogafin.gov.co, el “Formato de creación de usuarios”. Este archivo deberá ser remitido en formato PDF/A, y deberá estar firmado digitalmente. El certificado deberá estar asignado a la entidad financiera inscrita y/o a su Representante Legal.</w:t>
      </w:r>
    </w:p>
    <w:p w14:paraId="54DD73E6" w14:textId="77777777" w:rsidR="00CA76DA" w:rsidRDefault="00CA76DA" w:rsidP="00CA76DA">
      <w:pPr>
        <w:ind w:left="792"/>
        <w:jc w:val="both"/>
        <w:rPr>
          <w:rFonts w:ascii="Arial" w:hAnsi="Arial" w:cs="Arial"/>
          <w:b/>
          <w:sz w:val="25"/>
          <w:szCs w:val="25"/>
          <w:lang w:val="es-CO" w:eastAsia="en-US"/>
        </w:rPr>
      </w:pPr>
    </w:p>
    <w:p w14:paraId="650EF5B1" w14:textId="00D55B5E" w:rsidR="00853B5D" w:rsidRPr="00BF5BC9" w:rsidRDefault="00BF5BC9" w:rsidP="00CA76DA">
      <w:pPr>
        <w:numPr>
          <w:ilvl w:val="1"/>
          <w:numId w:val="5"/>
        </w:numPr>
        <w:jc w:val="both"/>
        <w:rPr>
          <w:rFonts w:ascii="Arial" w:hAnsi="Arial" w:cs="Arial"/>
          <w:b/>
          <w:sz w:val="25"/>
          <w:szCs w:val="25"/>
          <w:lang w:val="es-CO" w:eastAsia="en-US"/>
        </w:rPr>
      </w:pPr>
      <w:r>
        <w:rPr>
          <w:rFonts w:ascii="Arial" w:hAnsi="Arial" w:cs="Arial"/>
          <w:b/>
          <w:bCs/>
          <w:sz w:val="25"/>
          <w:szCs w:val="25"/>
        </w:rPr>
        <w:t xml:space="preserve"> </w:t>
      </w:r>
      <w:r w:rsidR="00853B5D" w:rsidRPr="00BF5BC9">
        <w:rPr>
          <w:rFonts w:ascii="Arial" w:hAnsi="Arial" w:cs="Arial"/>
          <w:b/>
          <w:bCs/>
          <w:sz w:val="25"/>
          <w:szCs w:val="25"/>
        </w:rPr>
        <w:t>Fecha de proceso de cálculo de la prima de Seguro de Depósitos</w:t>
      </w:r>
    </w:p>
    <w:p w14:paraId="1F058DC8" w14:textId="572BE5C1" w:rsidR="00BF5BC9" w:rsidRDefault="00BF5BC9" w:rsidP="00BF5BC9">
      <w:pPr>
        <w:ind w:left="792"/>
        <w:jc w:val="both"/>
        <w:rPr>
          <w:rFonts w:ascii="Arial" w:hAnsi="Arial" w:cs="Arial"/>
          <w:b/>
          <w:bCs/>
          <w:sz w:val="25"/>
          <w:szCs w:val="25"/>
        </w:rPr>
      </w:pPr>
    </w:p>
    <w:p w14:paraId="67276215" w14:textId="77777777" w:rsidR="00BF5BC9" w:rsidRDefault="00BF5BC9" w:rsidP="00BF5BC9">
      <w:pPr>
        <w:pStyle w:val="Prrafodelista"/>
        <w:spacing w:after="0" w:line="240" w:lineRule="auto"/>
        <w:ind w:left="360"/>
        <w:jc w:val="both"/>
        <w:rPr>
          <w:rFonts w:ascii="Arial" w:hAnsi="Arial" w:cs="Arial"/>
          <w:sz w:val="25"/>
          <w:szCs w:val="25"/>
        </w:rPr>
      </w:pPr>
      <w:r>
        <w:rPr>
          <w:rFonts w:ascii="Arial" w:hAnsi="Arial" w:cs="Arial"/>
          <w:sz w:val="25"/>
          <w:szCs w:val="25"/>
        </w:rPr>
        <w:t>La herramienta estará disponible aproximadamente durante dos semanas en el mes de cobro del trimestre definido en la Resolución vigente del Seguro de Depósitos.</w:t>
      </w:r>
    </w:p>
    <w:p w14:paraId="006A329F" w14:textId="77777777" w:rsidR="00BF5BC9" w:rsidRDefault="00BF5BC9" w:rsidP="00BF5BC9">
      <w:pPr>
        <w:pStyle w:val="Prrafodelista"/>
        <w:spacing w:after="0" w:line="240" w:lineRule="auto"/>
        <w:ind w:left="360"/>
        <w:jc w:val="both"/>
        <w:rPr>
          <w:rFonts w:ascii="Arial" w:hAnsi="Arial" w:cs="Arial"/>
          <w:sz w:val="25"/>
          <w:szCs w:val="25"/>
        </w:rPr>
      </w:pPr>
    </w:p>
    <w:p w14:paraId="4A19F8FA" w14:textId="6CEAA288" w:rsidR="00BF5BC9" w:rsidRPr="00BF5BC9" w:rsidRDefault="00BF5BC9" w:rsidP="00BF5BC9">
      <w:pPr>
        <w:pStyle w:val="Prrafodelista"/>
        <w:spacing w:after="0" w:line="240" w:lineRule="auto"/>
        <w:ind w:left="360"/>
        <w:jc w:val="both"/>
        <w:rPr>
          <w:rFonts w:ascii="Arial" w:hAnsi="Arial" w:cs="Arial"/>
          <w:sz w:val="25"/>
          <w:szCs w:val="25"/>
        </w:rPr>
      </w:pPr>
      <w:r>
        <w:rPr>
          <w:rFonts w:ascii="Arial" w:hAnsi="Arial" w:cs="Arial"/>
          <w:sz w:val="25"/>
          <w:szCs w:val="25"/>
        </w:rPr>
        <w:t>La fecha desde la cual las entidades pueden ingresar al aplicativo para realizar el proceso correspondiente será informada a través de correo electrónico a los usuarios inscritos y activos.</w:t>
      </w:r>
    </w:p>
    <w:p w14:paraId="7680BBAB" w14:textId="77777777" w:rsidR="00BF5BC9" w:rsidRPr="00BF5BC9" w:rsidRDefault="00BF5BC9" w:rsidP="00BF5BC9">
      <w:pPr>
        <w:ind w:left="792"/>
        <w:jc w:val="both"/>
        <w:rPr>
          <w:rFonts w:ascii="Arial" w:hAnsi="Arial" w:cs="Arial"/>
          <w:b/>
          <w:sz w:val="25"/>
          <w:szCs w:val="25"/>
          <w:lang w:val="es-CO" w:eastAsia="en-US"/>
        </w:rPr>
      </w:pPr>
    </w:p>
    <w:p w14:paraId="256D98FA" w14:textId="141EE118" w:rsidR="00752778" w:rsidRPr="00BF5BC9" w:rsidRDefault="00BF5BC9" w:rsidP="00BF5BC9">
      <w:pPr>
        <w:numPr>
          <w:ilvl w:val="1"/>
          <w:numId w:val="5"/>
        </w:numPr>
        <w:jc w:val="both"/>
        <w:rPr>
          <w:rFonts w:ascii="Arial" w:hAnsi="Arial" w:cs="Arial"/>
          <w:b/>
          <w:sz w:val="25"/>
          <w:szCs w:val="25"/>
          <w:lang w:val="es-CO" w:eastAsia="en-US"/>
        </w:rPr>
      </w:pPr>
      <w:r>
        <w:rPr>
          <w:rFonts w:ascii="Arial" w:hAnsi="Arial" w:cs="Arial"/>
          <w:b/>
          <w:bCs/>
          <w:sz w:val="25"/>
          <w:szCs w:val="25"/>
        </w:rPr>
        <w:t xml:space="preserve"> </w:t>
      </w:r>
      <w:r w:rsidR="00752778" w:rsidRPr="00BF5BC9">
        <w:rPr>
          <w:rFonts w:ascii="Arial" w:hAnsi="Arial" w:cs="Arial"/>
          <w:b/>
          <w:bCs/>
          <w:sz w:val="25"/>
          <w:szCs w:val="25"/>
        </w:rPr>
        <w:t xml:space="preserve">Proceso de </w:t>
      </w:r>
      <w:r w:rsidR="009A7736" w:rsidRPr="00BF5BC9">
        <w:rPr>
          <w:rFonts w:ascii="Arial" w:hAnsi="Arial" w:cs="Arial"/>
          <w:b/>
          <w:bCs/>
          <w:sz w:val="25"/>
          <w:szCs w:val="25"/>
        </w:rPr>
        <w:t>liquidación</w:t>
      </w:r>
      <w:r w:rsidR="00752778" w:rsidRPr="00BF5BC9">
        <w:rPr>
          <w:rFonts w:ascii="Arial" w:hAnsi="Arial" w:cs="Arial"/>
          <w:b/>
          <w:bCs/>
          <w:sz w:val="25"/>
          <w:szCs w:val="25"/>
        </w:rPr>
        <w:t xml:space="preserve"> de la prima de Seguro de Depósitos</w:t>
      </w:r>
    </w:p>
    <w:p w14:paraId="27A8B78B" w14:textId="77777777" w:rsidR="00752778" w:rsidRDefault="00752778" w:rsidP="00641E69">
      <w:pPr>
        <w:pStyle w:val="Prrafodelista"/>
        <w:spacing w:after="0" w:line="240" w:lineRule="auto"/>
        <w:ind w:left="360"/>
        <w:jc w:val="both"/>
        <w:rPr>
          <w:rFonts w:ascii="Arial" w:hAnsi="Arial" w:cs="Arial"/>
          <w:sz w:val="25"/>
          <w:szCs w:val="25"/>
        </w:rPr>
      </w:pPr>
    </w:p>
    <w:p w14:paraId="4C4F55E0" w14:textId="3B238CAC" w:rsidR="00D230C0" w:rsidRDefault="00752778" w:rsidP="00641E69">
      <w:pPr>
        <w:pStyle w:val="Prrafodelista"/>
        <w:spacing w:after="0" w:line="240" w:lineRule="auto"/>
        <w:ind w:left="360"/>
        <w:jc w:val="both"/>
        <w:rPr>
          <w:rFonts w:ascii="Arial" w:hAnsi="Arial" w:cs="Arial"/>
          <w:sz w:val="25"/>
          <w:szCs w:val="25"/>
        </w:rPr>
      </w:pPr>
      <w:r>
        <w:rPr>
          <w:rFonts w:ascii="Arial" w:hAnsi="Arial" w:cs="Arial"/>
          <w:sz w:val="25"/>
          <w:szCs w:val="25"/>
        </w:rPr>
        <w:t>Las entidades inscritas deben enviar la liquidación de la prima de</w:t>
      </w:r>
      <w:r w:rsidR="00DE266C">
        <w:rPr>
          <w:rFonts w:ascii="Arial" w:hAnsi="Arial" w:cs="Arial"/>
          <w:sz w:val="25"/>
          <w:szCs w:val="25"/>
        </w:rPr>
        <w:t>l</w:t>
      </w:r>
      <w:r>
        <w:rPr>
          <w:rFonts w:ascii="Arial" w:hAnsi="Arial" w:cs="Arial"/>
          <w:sz w:val="25"/>
          <w:szCs w:val="25"/>
        </w:rPr>
        <w:t xml:space="preserve"> Seguro de Depósitos al Fondo</w:t>
      </w:r>
      <w:r w:rsidR="00762DE2">
        <w:rPr>
          <w:rFonts w:ascii="Arial" w:hAnsi="Arial" w:cs="Arial"/>
          <w:sz w:val="25"/>
          <w:szCs w:val="25"/>
        </w:rPr>
        <w:t xml:space="preserve"> a través del aplicativo</w:t>
      </w:r>
      <w:r w:rsidR="009144BA">
        <w:rPr>
          <w:rFonts w:ascii="Arial" w:hAnsi="Arial" w:cs="Arial"/>
          <w:sz w:val="25"/>
          <w:szCs w:val="25"/>
        </w:rPr>
        <w:t xml:space="preserve"> </w:t>
      </w:r>
      <w:r w:rsidR="009144BA" w:rsidRPr="009144BA">
        <w:rPr>
          <w:rFonts w:ascii="Arial" w:hAnsi="Arial" w:cs="Arial"/>
          <w:sz w:val="25"/>
          <w:szCs w:val="25"/>
        </w:rPr>
        <w:t>de Cálculo y Liquidación de la prima de Seguro de Depósitos</w:t>
      </w:r>
      <w:r>
        <w:rPr>
          <w:rFonts w:ascii="Arial" w:hAnsi="Arial" w:cs="Arial"/>
          <w:sz w:val="25"/>
          <w:szCs w:val="25"/>
        </w:rPr>
        <w:t>. La comunicación envi</w:t>
      </w:r>
      <w:r w:rsidR="00AB3B47">
        <w:rPr>
          <w:rFonts w:ascii="Arial" w:hAnsi="Arial" w:cs="Arial"/>
          <w:sz w:val="25"/>
          <w:szCs w:val="25"/>
        </w:rPr>
        <w:t>a</w:t>
      </w:r>
      <w:r>
        <w:rPr>
          <w:rFonts w:ascii="Arial" w:hAnsi="Arial" w:cs="Arial"/>
          <w:sz w:val="25"/>
          <w:szCs w:val="25"/>
        </w:rPr>
        <w:t xml:space="preserve">da </w:t>
      </w:r>
      <w:r w:rsidR="00916651">
        <w:rPr>
          <w:rFonts w:ascii="Arial" w:hAnsi="Arial" w:cs="Arial"/>
          <w:sz w:val="25"/>
          <w:szCs w:val="25"/>
        </w:rPr>
        <w:t xml:space="preserve">a Fogafín </w:t>
      </w:r>
      <w:r>
        <w:rPr>
          <w:rFonts w:ascii="Arial" w:hAnsi="Arial" w:cs="Arial"/>
          <w:sz w:val="25"/>
          <w:szCs w:val="25"/>
        </w:rPr>
        <w:t>debe corresponder al</w:t>
      </w:r>
      <w:r w:rsidR="008F1853">
        <w:rPr>
          <w:rFonts w:ascii="Arial" w:hAnsi="Arial" w:cs="Arial"/>
          <w:sz w:val="25"/>
          <w:szCs w:val="25"/>
        </w:rPr>
        <w:t xml:space="preserve"> </w:t>
      </w:r>
      <w:r w:rsidR="005E5F13">
        <w:rPr>
          <w:rFonts w:ascii="Arial" w:hAnsi="Arial" w:cs="Arial"/>
          <w:sz w:val="25"/>
          <w:szCs w:val="25"/>
        </w:rPr>
        <w:t>documento</w:t>
      </w:r>
      <w:r w:rsidR="00916651">
        <w:rPr>
          <w:rFonts w:ascii="Arial" w:hAnsi="Arial" w:cs="Arial"/>
          <w:sz w:val="25"/>
          <w:szCs w:val="25"/>
        </w:rPr>
        <w:t xml:space="preserve"> </w:t>
      </w:r>
      <w:proofErr w:type="spellStart"/>
      <w:r w:rsidR="00916651">
        <w:rPr>
          <w:rFonts w:ascii="Arial" w:hAnsi="Arial" w:cs="Arial"/>
          <w:sz w:val="25"/>
          <w:szCs w:val="25"/>
        </w:rPr>
        <w:t>pdf</w:t>
      </w:r>
      <w:proofErr w:type="spellEnd"/>
      <w:r w:rsidR="005E5F13">
        <w:rPr>
          <w:rFonts w:ascii="Arial" w:hAnsi="Arial" w:cs="Arial"/>
          <w:sz w:val="25"/>
          <w:szCs w:val="25"/>
        </w:rPr>
        <w:t xml:space="preserve"> descargado del aplicativo. </w:t>
      </w:r>
    </w:p>
    <w:p w14:paraId="2467CBB3" w14:textId="77777777" w:rsidR="00D230C0" w:rsidRDefault="00D230C0" w:rsidP="00641E69">
      <w:pPr>
        <w:pStyle w:val="Prrafodelista"/>
        <w:spacing w:after="0" w:line="240" w:lineRule="auto"/>
        <w:ind w:left="360"/>
        <w:jc w:val="both"/>
        <w:rPr>
          <w:rFonts w:ascii="Arial" w:hAnsi="Arial" w:cs="Arial"/>
          <w:sz w:val="25"/>
          <w:szCs w:val="25"/>
        </w:rPr>
      </w:pPr>
    </w:p>
    <w:p w14:paraId="151C84F8" w14:textId="279BDAF5" w:rsidR="00D230C0" w:rsidRDefault="009144BA" w:rsidP="00641E69">
      <w:pPr>
        <w:pStyle w:val="Prrafodelista"/>
        <w:spacing w:after="0" w:line="240" w:lineRule="auto"/>
        <w:ind w:left="360"/>
        <w:jc w:val="both"/>
        <w:rPr>
          <w:rFonts w:ascii="Arial" w:hAnsi="Arial" w:cs="Arial"/>
          <w:sz w:val="25"/>
          <w:szCs w:val="25"/>
          <w:lang w:val="es-ES" w:eastAsia="es-ES"/>
        </w:rPr>
      </w:pPr>
      <w:r>
        <w:rPr>
          <w:rFonts w:ascii="Arial" w:hAnsi="Arial" w:cs="Arial"/>
          <w:sz w:val="25"/>
          <w:szCs w:val="25"/>
        </w:rPr>
        <w:t xml:space="preserve">La </w:t>
      </w:r>
      <w:r w:rsidR="005E5F13">
        <w:rPr>
          <w:rFonts w:ascii="Arial" w:hAnsi="Arial" w:cs="Arial"/>
          <w:sz w:val="25"/>
          <w:szCs w:val="25"/>
        </w:rPr>
        <w:t>comunicación</w:t>
      </w:r>
      <w:r>
        <w:rPr>
          <w:rFonts w:ascii="Arial" w:hAnsi="Arial" w:cs="Arial"/>
          <w:sz w:val="25"/>
          <w:szCs w:val="25"/>
        </w:rPr>
        <w:t xml:space="preserve"> con el cálculo </w:t>
      </w:r>
      <w:r w:rsidR="00040681">
        <w:rPr>
          <w:rFonts w:ascii="Arial" w:hAnsi="Arial" w:cs="Arial"/>
          <w:sz w:val="25"/>
          <w:szCs w:val="25"/>
        </w:rPr>
        <w:t>correspondiente</w:t>
      </w:r>
      <w:r>
        <w:rPr>
          <w:rFonts w:ascii="Arial" w:hAnsi="Arial" w:cs="Arial"/>
          <w:sz w:val="25"/>
          <w:szCs w:val="25"/>
        </w:rPr>
        <w:t xml:space="preserve"> </w:t>
      </w:r>
      <w:r w:rsidR="00040681">
        <w:rPr>
          <w:rFonts w:ascii="Arial" w:hAnsi="Arial" w:cs="Arial"/>
          <w:sz w:val="25"/>
          <w:szCs w:val="25"/>
        </w:rPr>
        <w:t>deberá ser firmad</w:t>
      </w:r>
      <w:r w:rsidR="00A1552A">
        <w:rPr>
          <w:rFonts w:ascii="Arial" w:hAnsi="Arial" w:cs="Arial"/>
          <w:sz w:val="25"/>
          <w:szCs w:val="25"/>
        </w:rPr>
        <w:t>a</w:t>
      </w:r>
      <w:r w:rsidR="00040681">
        <w:rPr>
          <w:rFonts w:ascii="Arial" w:hAnsi="Arial" w:cs="Arial"/>
          <w:sz w:val="25"/>
          <w:szCs w:val="25"/>
        </w:rPr>
        <w:t xml:space="preserve"> digitalmente. El </w:t>
      </w:r>
      <w:r w:rsidR="00040681" w:rsidRPr="001A7BC1">
        <w:rPr>
          <w:rFonts w:ascii="Arial" w:hAnsi="Arial" w:cs="Arial"/>
          <w:sz w:val="25"/>
          <w:szCs w:val="25"/>
          <w:lang w:val="es-ES" w:eastAsia="es-ES"/>
        </w:rPr>
        <w:t xml:space="preserve">certificado deberá estar asignado a la entidad financiera inscrita y/o a su Representante Legal. Las características del certificado digital requerido para la firma </w:t>
      </w:r>
      <w:r w:rsidR="00A75349">
        <w:rPr>
          <w:rFonts w:ascii="Arial" w:hAnsi="Arial" w:cs="Arial"/>
          <w:sz w:val="25"/>
          <w:szCs w:val="25"/>
        </w:rPr>
        <w:t xml:space="preserve">de la </w:t>
      </w:r>
      <w:r w:rsidR="00FA6559">
        <w:rPr>
          <w:rFonts w:ascii="Arial" w:hAnsi="Arial" w:cs="Arial"/>
          <w:sz w:val="25"/>
          <w:szCs w:val="25"/>
        </w:rPr>
        <w:t>comunicación</w:t>
      </w:r>
      <w:r w:rsidR="00040681" w:rsidRPr="001A7BC1">
        <w:rPr>
          <w:rFonts w:ascii="Arial" w:hAnsi="Arial" w:cs="Arial"/>
          <w:sz w:val="25"/>
          <w:szCs w:val="25"/>
          <w:lang w:val="es-ES" w:eastAsia="es-ES"/>
        </w:rPr>
        <w:t xml:space="preserve"> son las mismas del certificado utilizado para la firma de los archivos trasmitidos por parte de las entidades </w:t>
      </w:r>
      <w:r w:rsidR="00040681" w:rsidRPr="001A7BC1">
        <w:rPr>
          <w:rFonts w:ascii="Arial" w:hAnsi="Arial" w:cs="Arial"/>
          <w:sz w:val="25"/>
          <w:szCs w:val="25"/>
          <w:lang w:val="es-ES" w:eastAsia="es-ES"/>
        </w:rPr>
        <w:lastRenderedPageBreak/>
        <w:t>financieras a la Superintendencia Financiera de Colombia</w:t>
      </w:r>
      <w:r w:rsidR="00040681">
        <w:rPr>
          <w:rFonts w:ascii="Arial" w:hAnsi="Arial" w:cs="Arial"/>
          <w:sz w:val="25"/>
          <w:szCs w:val="25"/>
        </w:rPr>
        <w:t xml:space="preserve">, de preferencia utilizando el certificado de firma </w:t>
      </w:r>
      <w:r w:rsidR="00F823E5">
        <w:rPr>
          <w:rFonts w:ascii="Arial" w:hAnsi="Arial" w:cs="Arial"/>
          <w:sz w:val="25"/>
          <w:szCs w:val="25"/>
        </w:rPr>
        <w:t>digital PADES</w:t>
      </w:r>
      <w:r w:rsidR="00F823E5">
        <w:rPr>
          <w:rStyle w:val="Refdenotaalpie"/>
          <w:rFonts w:ascii="Arial" w:hAnsi="Arial"/>
          <w:sz w:val="25"/>
          <w:szCs w:val="25"/>
        </w:rPr>
        <w:footnoteReference w:id="2"/>
      </w:r>
      <w:r w:rsidR="00040681">
        <w:rPr>
          <w:rFonts w:ascii="Arial" w:hAnsi="Arial" w:cs="Arial"/>
          <w:sz w:val="25"/>
          <w:szCs w:val="25"/>
        </w:rPr>
        <w:t xml:space="preserve"> </w:t>
      </w:r>
      <w:r w:rsidR="00252699">
        <w:rPr>
          <w:rFonts w:ascii="Arial" w:hAnsi="Arial" w:cs="Arial"/>
          <w:sz w:val="25"/>
          <w:szCs w:val="25"/>
        </w:rPr>
        <w:t xml:space="preserve">o en formato pz7. </w:t>
      </w:r>
    </w:p>
    <w:p w14:paraId="5F5E3E0F" w14:textId="77777777" w:rsidR="00D230C0" w:rsidRDefault="00D230C0" w:rsidP="00641E69">
      <w:pPr>
        <w:pStyle w:val="Prrafodelista"/>
        <w:spacing w:after="0" w:line="240" w:lineRule="auto"/>
        <w:ind w:left="360"/>
        <w:jc w:val="both"/>
      </w:pPr>
    </w:p>
    <w:p w14:paraId="1052AD5E" w14:textId="7A22A76E" w:rsidR="00367895" w:rsidRDefault="00252699" w:rsidP="00641E69">
      <w:pPr>
        <w:pStyle w:val="Prrafodelista"/>
        <w:spacing w:after="0" w:line="240" w:lineRule="auto"/>
        <w:ind w:left="426"/>
        <w:jc w:val="both"/>
        <w:rPr>
          <w:rFonts w:ascii="Arial" w:hAnsi="Arial" w:cs="Arial"/>
          <w:sz w:val="25"/>
          <w:szCs w:val="25"/>
          <w:lang w:val="es-ES" w:eastAsia="es-ES"/>
        </w:rPr>
      </w:pPr>
      <w:r w:rsidRPr="00D22897">
        <w:rPr>
          <w:rFonts w:ascii="Arial" w:hAnsi="Arial" w:cs="Arial"/>
          <w:sz w:val="25"/>
          <w:szCs w:val="25"/>
          <w:lang w:val="es-ES" w:eastAsia="es-ES"/>
        </w:rPr>
        <w:t xml:space="preserve">Para el suministro de esta </w:t>
      </w:r>
      <w:r>
        <w:rPr>
          <w:rFonts w:ascii="Arial" w:hAnsi="Arial" w:cs="Arial"/>
          <w:sz w:val="25"/>
          <w:szCs w:val="25"/>
        </w:rPr>
        <w:t>comunicación</w:t>
      </w:r>
      <w:r w:rsidRPr="00D22897">
        <w:rPr>
          <w:rFonts w:ascii="Arial" w:hAnsi="Arial" w:cs="Arial"/>
          <w:sz w:val="25"/>
          <w:szCs w:val="25"/>
          <w:lang w:val="es-ES" w:eastAsia="es-ES"/>
        </w:rPr>
        <w:t xml:space="preserve"> se cuenta con un procedimiento alterno, el cual se activará únicamente cuando existan fallas en los servicios de comunicaciones entre las entidades inscritas y Fogafín</w:t>
      </w:r>
      <w:r>
        <w:rPr>
          <w:rFonts w:ascii="Arial" w:hAnsi="Arial" w:cs="Arial"/>
          <w:sz w:val="25"/>
          <w:szCs w:val="25"/>
        </w:rPr>
        <w:t xml:space="preserve">. La comunicación se puede radicar de forma física en </w:t>
      </w:r>
      <w:r w:rsidRPr="00D22897">
        <w:rPr>
          <w:rFonts w:ascii="Arial" w:hAnsi="Arial" w:cs="Arial"/>
          <w:sz w:val="25"/>
          <w:szCs w:val="25"/>
          <w:lang w:val="es-ES" w:eastAsia="es-ES"/>
        </w:rPr>
        <w:t>las instalaciones de Fogafín</w:t>
      </w:r>
      <w:r w:rsidR="00A5722F">
        <w:rPr>
          <w:rFonts w:ascii="Arial" w:hAnsi="Arial" w:cs="Arial"/>
          <w:sz w:val="25"/>
          <w:szCs w:val="25"/>
        </w:rPr>
        <w:t xml:space="preserve"> o a través del correo fogafin@fogafin.gov.co</w:t>
      </w:r>
      <w:r w:rsidRPr="00D22897">
        <w:rPr>
          <w:rFonts w:ascii="Arial" w:hAnsi="Arial" w:cs="Arial"/>
          <w:sz w:val="25"/>
          <w:szCs w:val="25"/>
          <w:lang w:val="es-ES" w:eastAsia="es-ES"/>
        </w:rPr>
        <w:t xml:space="preserve"> a más tardar a las 5:30 p.m. del </w:t>
      </w:r>
      <w:r w:rsidR="00FC1970">
        <w:rPr>
          <w:rFonts w:ascii="Arial" w:hAnsi="Arial" w:cs="Arial"/>
          <w:sz w:val="25"/>
          <w:szCs w:val="25"/>
        </w:rPr>
        <w:t>últim</w:t>
      </w:r>
      <w:r w:rsidR="00997DDB">
        <w:rPr>
          <w:rFonts w:ascii="Arial" w:hAnsi="Arial" w:cs="Arial"/>
          <w:sz w:val="25"/>
          <w:szCs w:val="25"/>
        </w:rPr>
        <w:t>o</w:t>
      </w:r>
      <w:r w:rsidR="00FC1970">
        <w:rPr>
          <w:rFonts w:ascii="Arial" w:hAnsi="Arial" w:cs="Arial"/>
          <w:sz w:val="25"/>
          <w:szCs w:val="25"/>
        </w:rPr>
        <w:t xml:space="preserve"> día hábil de pago de la prima de seguro de depósitos.</w:t>
      </w:r>
    </w:p>
    <w:p w14:paraId="116E159B" w14:textId="77777777" w:rsidR="008F37E2" w:rsidRDefault="008F37E2" w:rsidP="00641E69">
      <w:pPr>
        <w:ind w:left="426"/>
        <w:jc w:val="both"/>
        <w:rPr>
          <w:rFonts w:ascii="Arial" w:hAnsi="Arial" w:cs="Arial"/>
          <w:sz w:val="25"/>
          <w:szCs w:val="25"/>
        </w:rPr>
      </w:pPr>
    </w:p>
    <w:p w14:paraId="40698198" w14:textId="2A7CD116" w:rsidR="00BE4831" w:rsidRPr="00BE2418" w:rsidRDefault="00BE4831" w:rsidP="00641E69">
      <w:pPr>
        <w:ind w:left="426"/>
        <w:jc w:val="both"/>
        <w:rPr>
          <w:rFonts w:ascii="Arial" w:hAnsi="Arial" w:cs="Arial"/>
          <w:sz w:val="25"/>
          <w:szCs w:val="25"/>
        </w:rPr>
      </w:pPr>
      <w:r w:rsidRPr="001A7BC1">
        <w:rPr>
          <w:rFonts w:ascii="Arial" w:hAnsi="Arial" w:cs="Arial"/>
          <w:sz w:val="25"/>
          <w:szCs w:val="25"/>
        </w:rPr>
        <w:t xml:space="preserve">Por </w:t>
      </w:r>
      <w:r w:rsidR="004D2FB3" w:rsidRPr="001A7BC1">
        <w:rPr>
          <w:rFonts w:ascii="Arial" w:hAnsi="Arial" w:cs="Arial"/>
          <w:sz w:val="25"/>
          <w:szCs w:val="25"/>
        </w:rPr>
        <w:t>último,</w:t>
      </w:r>
      <w:r w:rsidRPr="001A7BC1">
        <w:rPr>
          <w:rFonts w:ascii="Arial" w:hAnsi="Arial" w:cs="Arial"/>
          <w:sz w:val="25"/>
          <w:szCs w:val="25"/>
        </w:rPr>
        <w:t xml:space="preserve"> cualquier solicitud de información referente al proceso se realizará a través del correo institucional recaudos@fogafin.gov.co</w:t>
      </w:r>
    </w:p>
    <w:p w14:paraId="1BEEA5A8" w14:textId="10920319" w:rsidR="00996085" w:rsidRDefault="00996085" w:rsidP="00641E69">
      <w:pPr>
        <w:pStyle w:val="Prrafodelista"/>
        <w:spacing w:after="0" w:line="240" w:lineRule="auto"/>
        <w:ind w:left="709"/>
        <w:jc w:val="both"/>
        <w:rPr>
          <w:rFonts w:ascii="Arial" w:hAnsi="Arial" w:cs="Arial"/>
          <w:b/>
          <w:sz w:val="25"/>
          <w:szCs w:val="25"/>
        </w:rPr>
      </w:pPr>
    </w:p>
    <w:p w14:paraId="67462560" w14:textId="7945EEF4" w:rsidR="008802DD" w:rsidRPr="001A7BC1" w:rsidRDefault="00A5225A" w:rsidP="00641E69">
      <w:pPr>
        <w:pStyle w:val="Prrafodelista"/>
        <w:spacing w:after="0" w:line="240" w:lineRule="auto"/>
        <w:ind w:left="0"/>
        <w:jc w:val="both"/>
        <w:rPr>
          <w:rFonts w:ascii="Arial" w:hAnsi="Arial" w:cs="Arial"/>
          <w:bCs/>
          <w:sz w:val="25"/>
          <w:szCs w:val="25"/>
        </w:rPr>
      </w:pPr>
      <w:r w:rsidRPr="001A7BC1">
        <w:rPr>
          <w:rFonts w:ascii="Arial" w:hAnsi="Arial" w:cs="Arial"/>
          <w:bCs/>
          <w:sz w:val="25"/>
          <w:szCs w:val="25"/>
        </w:rPr>
        <w:t>La presente Circular rige a partir de su publicación</w:t>
      </w:r>
      <w:r w:rsidR="00700828" w:rsidRPr="001A7BC1">
        <w:rPr>
          <w:rFonts w:ascii="Arial" w:hAnsi="Arial" w:cs="Arial"/>
          <w:bCs/>
          <w:sz w:val="25"/>
          <w:szCs w:val="25"/>
        </w:rPr>
        <w:t xml:space="preserve">, excepto los numerales 3, 4 y 5 que </w:t>
      </w:r>
      <w:r w:rsidR="001A7BC1" w:rsidRPr="001A7BC1">
        <w:rPr>
          <w:rFonts w:ascii="Arial" w:hAnsi="Arial" w:cs="Arial"/>
          <w:bCs/>
          <w:sz w:val="25"/>
          <w:szCs w:val="25"/>
        </w:rPr>
        <w:t>entran en vigor</w:t>
      </w:r>
      <w:r w:rsidR="00700828" w:rsidRPr="001A7BC1">
        <w:rPr>
          <w:rFonts w:ascii="Arial" w:hAnsi="Arial" w:cs="Arial"/>
          <w:bCs/>
          <w:sz w:val="25"/>
          <w:szCs w:val="25"/>
        </w:rPr>
        <w:t xml:space="preserve"> a partir de septiembre de 2022 para el cobro de la prima de depósitos </w:t>
      </w:r>
      <w:r w:rsidR="00A713D1" w:rsidRPr="001A7BC1">
        <w:rPr>
          <w:rFonts w:ascii="Arial" w:hAnsi="Arial" w:cs="Arial"/>
          <w:bCs/>
          <w:sz w:val="25"/>
          <w:szCs w:val="25"/>
        </w:rPr>
        <w:t>del segundo trimestre de 2022</w:t>
      </w:r>
      <w:r w:rsidRPr="001A7BC1">
        <w:rPr>
          <w:rFonts w:ascii="Arial" w:hAnsi="Arial" w:cs="Arial"/>
          <w:bCs/>
          <w:sz w:val="25"/>
          <w:szCs w:val="25"/>
        </w:rPr>
        <w:t xml:space="preserve"> y </w:t>
      </w:r>
      <w:r w:rsidR="008802DD" w:rsidRPr="001A7BC1">
        <w:rPr>
          <w:rFonts w:ascii="Arial" w:hAnsi="Arial" w:cs="Arial"/>
          <w:bCs/>
          <w:sz w:val="25"/>
          <w:szCs w:val="25"/>
        </w:rPr>
        <w:t>deroga</w:t>
      </w:r>
      <w:r w:rsidR="00301DAF" w:rsidRPr="001A7BC1">
        <w:rPr>
          <w:rFonts w:ascii="Arial" w:hAnsi="Arial" w:cs="Arial"/>
          <w:bCs/>
          <w:sz w:val="25"/>
          <w:szCs w:val="25"/>
        </w:rPr>
        <w:t>rá</w:t>
      </w:r>
      <w:r w:rsidR="008802DD" w:rsidRPr="001A7BC1">
        <w:rPr>
          <w:rFonts w:ascii="Arial" w:hAnsi="Arial" w:cs="Arial"/>
          <w:bCs/>
          <w:sz w:val="25"/>
          <w:szCs w:val="25"/>
        </w:rPr>
        <w:t xml:space="preserve"> la Circular </w:t>
      </w:r>
      <w:r w:rsidRPr="001A7BC1">
        <w:rPr>
          <w:rFonts w:ascii="Arial" w:hAnsi="Arial" w:cs="Arial"/>
          <w:bCs/>
          <w:sz w:val="25"/>
          <w:szCs w:val="25"/>
        </w:rPr>
        <w:t xml:space="preserve">Externa </w:t>
      </w:r>
      <w:r w:rsidR="00EC1378" w:rsidRPr="001A7BC1">
        <w:rPr>
          <w:rFonts w:ascii="Arial" w:hAnsi="Arial" w:cs="Arial"/>
          <w:bCs/>
          <w:sz w:val="25"/>
          <w:szCs w:val="25"/>
        </w:rPr>
        <w:t xml:space="preserve">003 </w:t>
      </w:r>
      <w:r w:rsidR="008802DD" w:rsidRPr="001A7BC1">
        <w:rPr>
          <w:rFonts w:ascii="Arial" w:hAnsi="Arial" w:cs="Arial"/>
          <w:bCs/>
          <w:sz w:val="25"/>
          <w:szCs w:val="25"/>
        </w:rPr>
        <w:t>del</w:t>
      </w:r>
      <w:r w:rsidR="00094064" w:rsidRPr="001A7BC1">
        <w:rPr>
          <w:rFonts w:ascii="Arial" w:hAnsi="Arial" w:cs="Arial"/>
          <w:bCs/>
          <w:sz w:val="25"/>
          <w:szCs w:val="25"/>
        </w:rPr>
        <w:t xml:space="preserve"> </w:t>
      </w:r>
      <w:r w:rsidRPr="001A7BC1">
        <w:rPr>
          <w:rFonts w:ascii="Arial" w:hAnsi="Arial" w:cs="Arial"/>
          <w:bCs/>
          <w:sz w:val="25"/>
          <w:szCs w:val="25"/>
        </w:rPr>
        <w:t>14 de octubre</w:t>
      </w:r>
      <w:r w:rsidR="0086349A" w:rsidRPr="001A7BC1">
        <w:rPr>
          <w:rFonts w:ascii="Arial" w:hAnsi="Arial" w:cs="Arial"/>
          <w:bCs/>
          <w:sz w:val="25"/>
          <w:szCs w:val="25"/>
        </w:rPr>
        <w:t xml:space="preserve"> de </w:t>
      </w:r>
      <w:r w:rsidR="00EC1378" w:rsidRPr="001A7BC1">
        <w:rPr>
          <w:rFonts w:ascii="Arial" w:hAnsi="Arial" w:cs="Arial"/>
          <w:bCs/>
          <w:sz w:val="25"/>
          <w:szCs w:val="25"/>
        </w:rPr>
        <w:t>2020</w:t>
      </w:r>
      <w:r w:rsidR="008802DD" w:rsidRPr="001A7BC1">
        <w:rPr>
          <w:rFonts w:ascii="Arial" w:hAnsi="Arial" w:cs="Arial"/>
          <w:bCs/>
          <w:sz w:val="25"/>
          <w:szCs w:val="25"/>
        </w:rPr>
        <w:t>.</w:t>
      </w:r>
    </w:p>
    <w:p w14:paraId="0914BF8D" w14:textId="6CCE0DA6" w:rsidR="008802DD" w:rsidRDefault="008802DD" w:rsidP="00641E69">
      <w:pPr>
        <w:jc w:val="both"/>
        <w:rPr>
          <w:rFonts w:ascii="Arial" w:hAnsi="Arial" w:cs="Arial"/>
          <w:sz w:val="25"/>
          <w:szCs w:val="25"/>
        </w:rPr>
      </w:pPr>
    </w:p>
    <w:p w14:paraId="37EE861A" w14:textId="77777777" w:rsidR="00D230C0" w:rsidRDefault="00D230C0" w:rsidP="00641E69">
      <w:pPr>
        <w:jc w:val="both"/>
        <w:rPr>
          <w:rFonts w:ascii="Arial" w:hAnsi="Arial" w:cs="Arial"/>
          <w:sz w:val="25"/>
          <w:szCs w:val="25"/>
        </w:rPr>
      </w:pPr>
    </w:p>
    <w:p w14:paraId="7C05385F" w14:textId="77777777" w:rsidR="008802DD" w:rsidRPr="008802DD" w:rsidRDefault="008802DD" w:rsidP="00641E69">
      <w:pPr>
        <w:jc w:val="both"/>
        <w:rPr>
          <w:rFonts w:ascii="Arial" w:hAnsi="Arial" w:cs="Arial"/>
          <w:sz w:val="25"/>
          <w:szCs w:val="25"/>
        </w:rPr>
      </w:pPr>
      <w:r w:rsidRPr="008802DD">
        <w:rPr>
          <w:rFonts w:ascii="Arial" w:hAnsi="Arial" w:cs="Arial"/>
          <w:sz w:val="25"/>
          <w:szCs w:val="25"/>
        </w:rPr>
        <w:t>Cordialmente,</w:t>
      </w:r>
    </w:p>
    <w:p w14:paraId="6F507E88" w14:textId="77777777" w:rsidR="008802DD" w:rsidRPr="008802DD" w:rsidRDefault="008802DD" w:rsidP="00641E69">
      <w:pPr>
        <w:jc w:val="both"/>
        <w:rPr>
          <w:rFonts w:ascii="Arial" w:hAnsi="Arial" w:cs="Arial"/>
          <w:sz w:val="25"/>
          <w:szCs w:val="25"/>
        </w:rPr>
      </w:pPr>
    </w:p>
    <w:p w14:paraId="7E132881" w14:textId="77777777" w:rsidR="008802DD" w:rsidRDefault="008802DD" w:rsidP="00641E69">
      <w:pPr>
        <w:jc w:val="both"/>
        <w:rPr>
          <w:rFonts w:ascii="Arial" w:hAnsi="Arial" w:cs="Arial"/>
          <w:sz w:val="25"/>
          <w:szCs w:val="25"/>
        </w:rPr>
      </w:pPr>
    </w:p>
    <w:p w14:paraId="4005DBDE" w14:textId="77777777" w:rsidR="00575A56" w:rsidRPr="008802DD" w:rsidRDefault="00575A56" w:rsidP="00641E69">
      <w:pPr>
        <w:jc w:val="both"/>
        <w:rPr>
          <w:rFonts w:ascii="Arial" w:hAnsi="Arial" w:cs="Arial"/>
          <w:sz w:val="25"/>
          <w:szCs w:val="25"/>
        </w:rPr>
      </w:pPr>
    </w:p>
    <w:p w14:paraId="3BD0A8FE" w14:textId="77777777" w:rsidR="008802DD" w:rsidRPr="008802DD" w:rsidRDefault="008802DD" w:rsidP="00641E69">
      <w:pPr>
        <w:jc w:val="both"/>
        <w:rPr>
          <w:rFonts w:ascii="Arial" w:hAnsi="Arial" w:cs="Arial"/>
          <w:sz w:val="25"/>
          <w:szCs w:val="25"/>
        </w:rPr>
      </w:pPr>
    </w:p>
    <w:p w14:paraId="4EEFEDD7" w14:textId="13D86508" w:rsidR="008802DD" w:rsidRPr="008802DD" w:rsidRDefault="00860878" w:rsidP="00641E69">
      <w:pPr>
        <w:jc w:val="both"/>
        <w:rPr>
          <w:rFonts w:ascii="Arial" w:hAnsi="Arial" w:cs="Arial"/>
          <w:b/>
          <w:sz w:val="25"/>
          <w:szCs w:val="25"/>
        </w:rPr>
      </w:pPr>
      <w:r>
        <w:rPr>
          <w:rFonts w:ascii="Arial" w:hAnsi="Arial" w:cs="Arial"/>
          <w:b/>
          <w:sz w:val="25"/>
          <w:szCs w:val="25"/>
        </w:rPr>
        <w:t>ANDRÉS VALENCIA PINZÓN</w:t>
      </w:r>
      <w:r w:rsidR="008802DD" w:rsidRPr="008802DD">
        <w:rPr>
          <w:rFonts w:ascii="Arial" w:hAnsi="Arial" w:cs="Arial"/>
          <w:b/>
          <w:sz w:val="25"/>
          <w:szCs w:val="25"/>
        </w:rPr>
        <w:tab/>
      </w:r>
      <w:r w:rsidR="00E43960">
        <w:rPr>
          <w:rFonts w:ascii="Arial" w:hAnsi="Arial" w:cs="Arial"/>
          <w:b/>
          <w:sz w:val="25"/>
          <w:szCs w:val="25"/>
        </w:rPr>
        <w:tab/>
      </w:r>
      <w:r w:rsidR="00EE3E31">
        <w:rPr>
          <w:rFonts w:ascii="Arial" w:hAnsi="Arial" w:cs="Arial"/>
          <w:b/>
          <w:sz w:val="25"/>
          <w:szCs w:val="25"/>
        </w:rPr>
        <w:tab/>
      </w:r>
      <w:r w:rsidR="001A7BC1">
        <w:rPr>
          <w:rFonts w:ascii="Arial" w:hAnsi="Arial" w:cs="Arial"/>
          <w:b/>
          <w:sz w:val="25"/>
          <w:szCs w:val="25"/>
        </w:rPr>
        <w:t>DINA MARÍA OLMOS APONTE</w:t>
      </w:r>
    </w:p>
    <w:p w14:paraId="65843B94" w14:textId="589AAF86" w:rsidR="005F7AAF" w:rsidRPr="008802DD" w:rsidRDefault="008802DD" w:rsidP="00641E69">
      <w:pPr>
        <w:jc w:val="both"/>
        <w:rPr>
          <w:rFonts w:ascii="Arial" w:hAnsi="Arial" w:cs="Arial"/>
          <w:sz w:val="25"/>
          <w:szCs w:val="25"/>
        </w:rPr>
      </w:pPr>
      <w:r w:rsidRPr="008802DD">
        <w:rPr>
          <w:rFonts w:ascii="Arial" w:hAnsi="Arial" w:cs="Arial"/>
          <w:sz w:val="25"/>
          <w:szCs w:val="25"/>
        </w:rPr>
        <w:t>Director</w:t>
      </w:r>
      <w:r w:rsidRPr="008802DD">
        <w:rPr>
          <w:rFonts w:ascii="Arial" w:hAnsi="Arial" w:cs="Arial"/>
          <w:sz w:val="25"/>
          <w:szCs w:val="25"/>
        </w:rPr>
        <w:tab/>
      </w:r>
      <w:r w:rsidRPr="008802DD">
        <w:rPr>
          <w:rFonts w:ascii="Arial" w:hAnsi="Arial" w:cs="Arial"/>
          <w:sz w:val="25"/>
          <w:szCs w:val="25"/>
        </w:rPr>
        <w:tab/>
      </w:r>
      <w:r w:rsidRPr="008802DD">
        <w:rPr>
          <w:rFonts w:ascii="Arial" w:hAnsi="Arial" w:cs="Arial"/>
          <w:sz w:val="25"/>
          <w:szCs w:val="25"/>
        </w:rPr>
        <w:tab/>
      </w:r>
      <w:r w:rsidR="007D7E9F">
        <w:rPr>
          <w:rFonts w:ascii="Arial" w:hAnsi="Arial" w:cs="Arial"/>
          <w:sz w:val="25"/>
          <w:szCs w:val="25"/>
        </w:rPr>
        <w:t xml:space="preserve">        </w:t>
      </w:r>
      <w:r w:rsidR="001A7BC1">
        <w:rPr>
          <w:rFonts w:ascii="Arial" w:hAnsi="Arial" w:cs="Arial"/>
          <w:sz w:val="25"/>
          <w:szCs w:val="25"/>
        </w:rPr>
        <w:tab/>
      </w:r>
      <w:r w:rsidR="001A7BC1">
        <w:rPr>
          <w:rFonts w:ascii="Arial" w:hAnsi="Arial" w:cs="Arial"/>
          <w:sz w:val="25"/>
          <w:szCs w:val="25"/>
        </w:rPr>
        <w:tab/>
      </w:r>
      <w:r w:rsidR="001A7BC1">
        <w:rPr>
          <w:rFonts w:ascii="Arial" w:hAnsi="Arial" w:cs="Arial"/>
          <w:sz w:val="25"/>
          <w:szCs w:val="25"/>
        </w:rPr>
        <w:tab/>
      </w:r>
      <w:proofErr w:type="gramStart"/>
      <w:r w:rsidR="001A7BC1">
        <w:rPr>
          <w:rFonts w:ascii="Arial" w:hAnsi="Arial" w:cs="Arial"/>
          <w:sz w:val="25"/>
          <w:szCs w:val="25"/>
        </w:rPr>
        <w:t>Subdirectora</w:t>
      </w:r>
      <w:proofErr w:type="gramEnd"/>
      <w:r w:rsidR="001A7BC1">
        <w:rPr>
          <w:rFonts w:ascii="Arial" w:hAnsi="Arial" w:cs="Arial"/>
          <w:sz w:val="25"/>
          <w:szCs w:val="25"/>
        </w:rPr>
        <w:t xml:space="preserve"> Corporativa</w:t>
      </w:r>
    </w:p>
    <w:sectPr w:rsidR="005F7AAF" w:rsidRPr="008802DD" w:rsidSect="002C335D">
      <w:headerReference w:type="default" r:id="rId16"/>
      <w:footerReference w:type="default" r:id="rId17"/>
      <w:pgSz w:w="12242" w:h="15842" w:code="1"/>
      <w:pgMar w:top="899" w:right="1418"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B8CB" w14:textId="77777777" w:rsidR="00A70BCF" w:rsidRDefault="00A70BCF">
      <w:r>
        <w:separator/>
      </w:r>
    </w:p>
  </w:endnote>
  <w:endnote w:type="continuationSeparator" w:id="0">
    <w:p w14:paraId="4F1A4236" w14:textId="77777777" w:rsidR="00A70BCF" w:rsidRDefault="00A7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872052"/>
      <w:docPartObj>
        <w:docPartGallery w:val="Page Numbers (Bottom of Page)"/>
        <w:docPartUnique/>
      </w:docPartObj>
    </w:sdtPr>
    <w:sdtEndPr/>
    <w:sdtContent>
      <w:p w14:paraId="536B7446" w14:textId="1A190B93" w:rsidR="00AE2653" w:rsidRDefault="00AE2653">
        <w:pPr>
          <w:pStyle w:val="Piedepgina"/>
          <w:jc w:val="right"/>
        </w:pPr>
        <w:r>
          <w:fldChar w:fldCharType="begin"/>
        </w:r>
        <w:r>
          <w:instrText>PAGE   \* MERGEFORMAT</w:instrText>
        </w:r>
        <w:r>
          <w:fldChar w:fldCharType="separate"/>
        </w:r>
        <w:r>
          <w:t>2</w:t>
        </w:r>
        <w:r>
          <w:fldChar w:fldCharType="end"/>
        </w:r>
        <w:r w:rsidR="00EC1AAE">
          <w:t xml:space="preserve"> de </w:t>
        </w:r>
        <w:r w:rsidR="00EF2F80">
          <w:t>11</w:t>
        </w:r>
      </w:p>
    </w:sdtContent>
  </w:sdt>
  <w:p w14:paraId="5C587C2B" w14:textId="77777777" w:rsidR="002F7D11" w:rsidRDefault="002F7D11" w:rsidP="0028704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7C23D" w14:textId="77777777" w:rsidR="00A70BCF" w:rsidRDefault="00A70BCF">
      <w:r>
        <w:separator/>
      </w:r>
    </w:p>
  </w:footnote>
  <w:footnote w:type="continuationSeparator" w:id="0">
    <w:p w14:paraId="5F1DCF2D" w14:textId="77777777" w:rsidR="00A70BCF" w:rsidRDefault="00A70BCF">
      <w:r>
        <w:continuationSeparator/>
      </w:r>
    </w:p>
  </w:footnote>
  <w:footnote w:id="1">
    <w:p w14:paraId="1CEE7AE1" w14:textId="77777777" w:rsidR="008802DD" w:rsidRPr="00043CE1" w:rsidRDefault="008802DD" w:rsidP="008802DD">
      <w:pPr>
        <w:pStyle w:val="Textonotapie"/>
        <w:rPr>
          <w:rFonts w:ascii="Arial" w:hAnsi="Arial" w:cs="Arial"/>
          <w:lang w:val="es-CO"/>
        </w:rPr>
      </w:pPr>
      <w:r w:rsidRPr="00043CE1">
        <w:rPr>
          <w:rStyle w:val="Refdenotaalpie"/>
          <w:rFonts w:ascii="Arial" w:hAnsi="Arial" w:cs="Arial"/>
        </w:rPr>
        <w:footnoteRef/>
      </w:r>
      <w:r w:rsidRPr="00043CE1">
        <w:rPr>
          <w:rFonts w:ascii="Arial" w:hAnsi="Arial" w:cs="Arial"/>
        </w:rPr>
        <w:t xml:space="preserve"> </w:t>
      </w:r>
      <w:r w:rsidRPr="00043CE1">
        <w:rPr>
          <w:rFonts w:ascii="Arial" w:hAnsi="Arial" w:cs="Arial"/>
          <w:lang w:val="es-CO"/>
        </w:rPr>
        <w:t>Bancos, Corporaciones Financieras</w:t>
      </w:r>
      <w:r w:rsidR="00470326">
        <w:rPr>
          <w:rFonts w:ascii="Arial" w:hAnsi="Arial" w:cs="Arial"/>
          <w:lang w:val="es-CO"/>
        </w:rPr>
        <w:t xml:space="preserve"> y</w:t>
      </w:r>
      <w:r w:rsidRPr="00043CE1">
        <w:rPr>
          <w:rFonts w:ascii="Arial" w:hAnsi="Arial" w:cs="Arial"/>
          <w:lang w:val="es-CO"/>
        </w:rPr>
        <w:t xml:space="preserve"> Compañías de Financiamiento.</w:t>
      </w:r>
    </w:p>
  </w:footnote>
  <w:footnote w:id="2">
    <w:p w14:paraId="7C36351C" w14:textId="2A85106C" w:rsidR="00016C32" w:rsidRPr="00E9206D" w:rsidRDefault="00F823E5" w:rsidP="00E9206D">
      <w:pPr>
        <w:jc w:val="both"/>
        <w:rPr>
          <w:rFonts w:ascii="Arial" w:hAnsi="Arial" w:cs="Arial"/>
          <w:color w:val="4D5156"/>
          <w:sz w:val="20"/>
          <w:szCs w:val="20"/>
          <w:shd w:val="clear" w:color="auto" w:fill="FFFFFF"/>
        </w:rPr>
      </w:pPr>
      <w:r>
        <w:rPr>
          <w:rStyle w:val="Refdenotaalpie"/>
        </w:rPr>
        <w:footnoteRef/>
      </w:r>
      <w:r w:rsidRPr="00E9206D">
        <w:rPr>
          <w:rFonts w:ascii="Arial" w:hAnsi="Arial" w:cs="Arial"/>
          <w:color w:val="4D5156"/>
          <w:sz w:val="20"/>
          <w:szCs w:val="20"/>
          <w:shd w:val="clear" w:color="auto" w:fill="FFFFFF"/>
        </w:rPr>
        <w:t xml:space="preserve">PDF </w:t>
      </w:r>
      <w:proofErr w:type="spellStart"/>
      <w:r w:rsidRPr="00E9206D">
        <w:rPr>
          <w:rFonts w:ascii="Arial" w:hAnsi="Arial" w:cs="Arial"/>
          <w:color w:val="4D5156"/>
          <w:sz w:val="20"/>
          <w:szCs w:val="20"/>
          <w:shd w:val="clear" w:color="auto" w:fill="FFFFFF"/>
        </w:rPr>
        <w:t>Advanced</w:t>
      </w:r>
      <w:proofErr w:type="spellEnd"/>
      <w:r w:rsidRPr="00E9206D">
        <w:rPr>
          <w:rFonts w:ascii="Arial" w:hAnsi="Arial" w:cs="Arial"/>
          <w:color w:val="4D5156"/>
          <w:sz w:val="20"/>
          <w:szCs w:val="20"/>
          <w:shd w:val="clear" w:color="auto" w:fill="FFFFFF"/>
        </w:rPr>
        <w:t xml:space="preserve"> Electronic </w:t>
      </w:r>
      <w:proofErr w:type="spellStart"/>
      <w:r w:rsidRPr="00E9206D">
        <w:rPr>
          <w:rFonts w:ascii="Arial" w:hAnsi="Arial" w:cs="Arial"/>
          <w:color w:val="4D5156"/>
          <w:sz w:val="20"/>
          <w:szCs w:val="20"/>
          <w:shd w:val="clear" w:color="auto" w:fill="FFFFFF"/>
        </w:rPr>
        <w:t>Signatures</w:t>
      </w:r>
      <w:proofErr w:type="spellEnd"/>
      <w:r w:rsidR="00016C32" w:rsidRPr="00E9206D">
        <w:rPr>
          <w:rFonts w:ascii="Arial" w:hAnsi="Arial" w:cs="Arial"/>
          <w:color w:val="4D5156"/>
          <w:sz w:val="20"/>
          <w:szCs w:val="20"/>
          <w:shd w:val="clear" w:color="auto" w:fill="FFFFFF"/>
        </w:rPr>
        <w:t xml:space="preserve">. Mecanismo mediante el cual al archivo PDF se le inserta la firma como </w:t>
      </w:r>
      <w:proofErr w:type="spellStart"/>
      <w:r w:rsidR="00016C32" w:rsidRPr="00E9206D">
        <w:rPr>
          <w:rFonts w:ascii="Arial" w:hAnsi="Arial" w:cs="Arial"/>
          <w:color w:val="4D5156"/>
          <w:sz w:val="20"/>
          <w:szCs w:val="20"/>
          <w:shd w:val="clear" w:color="auto" w:fill="FFFFFF"/>
        </w:rPr>
        <w:t>metadat</w:t>
      </w:r>
      <w:r w:rsidR="004F00FC" w:rsidRPr="00E9206D">
        <w:rPr>
          <w:rFonts w:ascii="Arial" w:hAnsi="Arial" w:cs="Arial"/>
          <w:color w:val="4D5156"/>
          <w:sz w:val="20"/>
          <w:szCs w:val="20"/>
          <w:shd w:val="clear" w:color="auto" w:fill="FFFFFF"/>
        </w:rPr>
        <w:t>a</w:t>
      </w:r>
      <w:proofErr w:type="spellEnd"/>
      <w:r w:rsidR="004F00FC" w:rsidRPr="00E9206D">
        <w:rPr>
          <w:rFonts w:ascii="Arial" w:hAnsi="Arial" w:cs="Arial"/>
          <w:color w:val="4D5156"/>
          <w:sz w:val="20"/>
          <w:szCs w:val="20"/>
          <w:shd w:val="clear" w:color="auto" w:fill="FFFFFF"/>
        </w:rPr>
        <w:t xml:space="preserve">. </w:t>
      </w:r>
      <w:r w:rsidR="00016C32" w:rsidRPr="00E9206D">
        <w:rPr>
          <w:rFonts w:ascii="Arial" w:hAnsi="Arial" w:cs="Arial"/>
          <w:color w:val="4D5156"/>
          <w:sz w:val="20"/>
          <w:szCs w:val="20"/>
          <w:shd w:val="clear" w:color="auto" w:fill="FFFFFF"/>
        </w:rPr>
        <w:t xml:space="preserve"> </w:t>
      </w:r>
    </w:p>
    <w:p w14:paraId="0BFCD845" w14:textId="46A06F54" w:rsidR="00F823E5" w:rsidRPr="00D22897" w:rsidRDefault="00F823E5">
      <w:pPr>
        <w:pStyle w:val="Textonotapie"/>
        <w:rPr>
          <w:rFonts w:ascii="Arial" w:hAnsi="Arial" w:cs="Arial"/>
          <w:color w:val="4D5156"/>
          <w:sz w:val="21"/>
          <w:szCs w:val="21"/>
          <w:shd w:val="clear" w:color="auto" w:fill="FFFFF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C29D" w14:textId="77777777" w:rsidR="008A262E" w:rsidRDefault="00CD6625" w:rsidP="006A1073">
    <w:pPr>
      <w:pStyle w:val="Encabezado"/>
      <w:jc w:val="right"/>
    </w:pPr>
    <w:r w:rsidRPr="006563A9">
      <w:rPr>
        <w:noProof/>
      </w:rPr>
      <w:drawing>
        <wp:anchor distT="0" distB="0" distL="114300" distR="114300" simplePos="0" relativeHeight="251659264" behindDoc="1" locked="0" layoutInCell="1" allowOverlap="1" wp14:anchorId="1F3E1DEB" wp14:editId="2D0E7D97">
          <wp:simplePos x="0" y="0"/>
          <wp:positionH relativeFrom="column">
            <wp:posOffset>0</wp:posOffset>
          </wp:positionH>
          <wp:positionV relativeFrom="paragraph">
            <wp:posOffset>-232117</wp:posOffset>
          </wp:positionV>
          <wp:extent cx="1486634" cy="678425"/>
          <wp:effectExtent l="0" t="0" r="0" b="0"/>
          <wp:wrapNone/>
          <wp:docPr id="6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6634" cy="678425"/>
                  </a:xfrm>
                  <a:prstGeom prst="rect">
                    <a:avLst/>
                  </a:prstGeom>
                </pic:spPr>
              </pic:pic>
            </a:graphicData>
          </a:graphic>
          <wp14:sizeRelH relativeFrom="margin">
            <wp14:pctWidth>0</wp14:pctWidth>
          </wp14:sizeRelH>
          <wp14:sizeRelV relativeFrom="margin">
            <wp14:pctHeight>0</wp14:pctHeight>
          </wp14:sizeRelV>
        </wp:anchor>
      </w:drawing>
    </w:r>
  </w:p>
  <w:p w14:paraId="2CF2AF58" w14:textId="77777777" w:rsidR="008A262E" w:rsidRDefault="008A26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5700"/>
    <w:multiLevelType w:val="hybridMultilevel"/>
    <w:tmpl w:val="E54EA25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085413"/>
    <w:multiLevelType w:val="hybridMultilevel"/>
    <w:tmpl w:val="42169854"/>
    <w:lvl w:ilvl="0" w:tplc="FB3E03F8">
      <w:start w:val="1"/>
      <w:numFmt w:val="bullet"/>
      <w:lvlText w:val="-"/>
      <w:lvlJc w:val="left"/>
      <w:pPr>
        <w:ind w:left="1428" w:hanging="360"/>
      </w:pPr>
      <w:rPr>
        <w:rFonts w:ascii="Calibri" w:eastAsia="Calibri" w:hAnsi="Calibri" w:cs="Times New Roman"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 w15:restartNumberingAfterBreak="0">
    <w:nsid w:val="17AF4AAC"/>
    <w:multiLevelType w:val="hybridMultilevel"/>
    <w:tmpl w:val="2F24D7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370A65"/>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DF479C5"/>
    <w:multiLevelType w:val="multilevel"/>
    <w:tmpl w:val="800813CC"/>
    <w:lvl w:ilvl="0">
      <w:start w:val="4"/>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4597726F"/>
    <w:multiLevelType w:val="hybridMultilevel"/>
    <w:tmpl w:val="D428C060"/>
    <w:lvl w:ilvl="0" w:tplc="FB3E03F8">
      <w:start w:val="1"/>
      <w:numFmt w:val="bullet"/>
      <w:lvlText w:val="-"/>
      <w:lvlJc w:val="left"/>
      <w:pPr>
        <w:ind w:left="1428" w:hanging="360"/>
      </w:pPr>
      <w:rPr>
        <w:rFonts w:ascii="Calibri" w:eastAsia="Calibri" w:hAnsi="Calibri" w:cs="Times New Roman"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4E486FA1"/>
    <w:multiLevelType w:val="hybridMultilevel"/>
    <w:tmpl w:val="B016D326"/>
    <w:lvl w:ilvl="0" w:tplc="7982DC2C">
      <w:start w:val="2"/>
      <w:numFmt w:val="bullet"/>
      <w:lvlText w:val="-"/>
      <w:lvlJc w:val="left"/>
      <w:pPr>
        <w:ind w:left="786" w:hanging="360"/>
      </w:pPr>
      <w:rPr>
        <w:rFonts w:ascii="Arial" w:eastAsia="Times New Roman" w:hAnsi="Arial" w:hint="default"/>
        <w:b/>
      </w:rPr>
    </w:lvl>
    <w:lvl w:ilvl="1" w:tplc="2494874A">
      <w:numFmt w:val="bullet"/>
      <w:lvlText w:val="-"/>
      <w:lvlJc w:val="left"/>
      <w:pPr>
        <w:ind w:left="1506" w:hanging="360"/>
      </w:pPr>
      <w:rPr>
        <w:rFonts w:ascii="Times New Roman" w:eastAsia="Times New Roman" w:hAnsi="Times New Roman"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593918F0"/>
    <w:multiLevelType w:val="hybridMultilevel"/>
    <w:tmpl w:val="C0BED4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2200B0"/>
    <w:multiLevelType w:val="hybridMultilevel"/>
    <w:tmpl w:val="2138B7DC"/>
    <w:lvl w:ilvl="0" w:tplc="FB3E03F8">
      <w:start w:val="1"/>
      <w:numFmt w:val="bullet"/>
      <w:lvlText w:val="-"/>
      <w:lvlJc w:val="left"/>
      <w:pPr>
        <w:ind w:left="1429" w:hanging="360"/>
      </w:pPr>
      <w:rPr>
        <w:rFonts w:ascii="Calibri" w:eastAsia="Calibri" w:hAnsi="Calibri" w:cs="Times New Roman"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9" w15:restartNumberingAfterBreak="0">
    <w:nsid w:val="63D23E8B"/>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B3036A0"/>
    <w:multiLevelType w:val="multilevel"/>
    <w:tmpl w:val="C070FBC0"/>
    <w:lvl w:ilvl="0">
      <w:start w:val="4"/>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F83BC7"/>
    <w:multiLevelType w:val="hybridMultilevel"/>
    <w:tmpl w:val="A1BAED9E"/>
    <w:lvl w:ilvl="0" w:tplc="FB3E03F8">
      <w:start w:val="1"/>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1"/>
  </w:num>
  <w:num w:numId="5">
    <w:abstractNumId w:val="10"/>
  </w:num>
  <w:num w:numId="6">
    <w:abstractNumId w:val="0"/>
  </w:num>
  <w:num w:numId="7">
    <w:abstractNumId w:val="2"/>
  </w:num>
  <w:num w:numId="8">
    <w:abstractNumId w:val="7"/>
  </w:num>
  <w:num w:numId="9">
    <w:abstractNumId w:val="4"/>
  </w:num>
  <w:num w:numId="10">
    <w:abstractNumId w:val="8"/>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15"/>
    <w:rsid w:val="00016C32"/>
    <w:rsid w:val="00021B3E"/>
    <w:rsid w:val="00022E99"/>
    <w:rsid w:val="00040681"/>
    <w:rsid w:val="00042221"/>
    <w:rsid w:val="00043948"/>
    <w:rsid w:val="00050CC6"/>
    <w:rsid w:val="000772EF"/>
    <w:rsid w:val="00094064"/>
    <w:rsid w:val="000A2E3B"/>
    <w:rsid w:val="000C64BC"/>
    <w:rsid w:val="000D0067"/>
    <w:rsid w:val="000D4C71"/>
    <w:rsid w:val="000E6FE4"/>
    <w:rsid w:val="000F031A"/>
    <w:rsid w:val="00112595"/>
    <w:rsid w:val="00123142"/>
    <w:rsid w:val="00125363"/>
    <w:rsid w:val="00132646"/>
    <w:rsid w:val="001404DA"/>
    <w:rsid w:val="00151F79"/>
    <w:rsid w:val="00162B44"/>
    <w:rsid w:val="00164720"/>
    <w:rsid w:val="00173B84"/>
    <w:rsid w:val="001873F9"/>
    <w:rsid w:val="00193F53"/>
    <w:rsid w:val="001A7441"/>
    <w:rsid w:val="001A7BC1"/>
    <w:rsid w:val="001B2790"/>
    <w:rsid w:val="001B4B31"/>
    <w:rsid w:val="001D5182"/>
    <w:rsid w:val="001D5B74"/>
    <w:rsid w:val="001D6D63"/>
    <w:rsid w:val="001E084E"/>
    <w:rsid w:val="001E3A89"/>
    <w:rsid w:val="001E4A17"/>
    <w:rsid w:val="001E7CFF"/>
    <w:rsid w:val="0021187B"/>
    <w:rsid w:val="00212ECE"/>
    <w:rsid w:val="00216B4C"/>
    <w:rsid w:val="002434FA"/>
    <w:rsid w:val="002514DC"/>
    <w:rsid w:val="00251573"/>
    <w:rsid w:val="002515CC"/>
    <w:rsid w:val="00252699"/>
    <w:rsid w:val="00265CB9"/>
    <w:rsid w:val="002759A2"/>
    <w:rsid w:val="0028012C"/>
    <w:rsid w:val="00281808"/>
    <w:rsid w:val="00282864"/>
    <w:rsid w:val="002868BF"/>
    <w:rsid w:val="002869E5"/>
    <w:rsid w:val="00287042"/>
    <w:rsid w:val="002946F1"/>
    <w:rsid w:val="002A35DB"/>
    <w:rsid w:val="002B1241"/>
    <w:rsid w:val="002B3DEB"/>
    <w:rsid w:val="002B6478"/>
    <w:rsid w:val="002C335D"/>
    <w:rsid w:val="002E4C6D"/>
    <w:rsid w:val="002E65C0"/>
    <w:rsid w:val="002F7D11"/>
    <w:rsid w:val="00301DAF"/>
    <w:rsid w:val="0030402D"/>
    <w:rsid w:val="003055F7"/>
    <w:rsid w:val="00310466"/>
    <w:rsid w:val="003175CC"/>
    <w:rsid w:val="00344667"/>
    <w:rsid w:val="0036465F"/>
    <w:rsid w:val="00366516"/>
    <w:rsid w:val="00366858"/>
    <w:rsid w:val="00367895"/>
    <w:rsid w:val="0038092E"/>
    <w:rsid w:val="00380F75"/>
    <w:rsid w:val="00381957"/>
    <w:rsid w:val="00381F55"/>
    <w:rsid w:val="00387E3E"/>
    <w:rsid w:val="00392699"/>
    <w:rsid w:val="003A4DCB"/>
    <w:rsid w:val="003B0995"/>
    <w:rsid w:val="003B203A"/>
    <w:rsid w:val="003D4EA6"/>
    <w:rsid w:val="003D6384"/>
    <w:rsid w:val="003D6EA9"/>
    <w:rsid w:val="003E75F7"/>
    <w:rsid w:val="003F5B19"/>
    <w:rsid w:val="004232AC"/>
    <w:rsid w:val="00426432"/>
    <w:rsid w:val="00432BB4"/>
    <w:rsid w:val="00441006"/>
    <w:rsid w:val="004564F1"/>
    <w:rsid w:val="00470326"/>
    <w:rsid w:val="00473918"/>
    <w:rsid w:val="00473F1B"/>
    <w:rsid w:val="00476715"/>
    <w:rsid w:val="00477F2E"/>
    <w:rsid w:val="00485425"/>
    <w:rsid w:val="004858CF"/>
    <w:rsid w:val="004A52FC"/>
    <w:rsid w:val="004B0E46"/>
    <w:rsid w:val="004B2392"/>
    <w:rsid w:val="004B24A5"/>
    <w:rsid w:val="004B3F9E"/>
    <w:rsid w:val="004C3BFF"/>
    <w:rsid w:val="004D0668"/>
    <w:rsid w:val="004D2FB3"/>
    <w:rsid w:val="004D34CB"/>
    <w:rsid w:val="004D3C08"/>
    <w:rsid w:val="004D6CCE"/>
    <w:rsid w:val="004E4C37"/>
    <w:rsid w:val="004F00FC"/>
    <w:rsid w:val="0050413E"/>
    <w:rsid w:val="00521F75"/>
    <w:rsid w:val="00524715"/>
    <w:rsid w:val="0052584A"/>
    <w:rsid w:val="00535332"/>
    <w:rsid w:val="00537AF4"/>
    <w:rsid w:val="005439C5"/>
    <w:rsid w:val="00544858"/>
    <w:rsid w:val="00557C88"/>
    <w:rsid w:val="00575A56"/>
    <w:rsid w:val="00592BB6"/>
    <w:rsid w:val="005943DA"/>
    <w:rsid w:val="005E5B2A"/>
    <w:rsid w:val="005E5F13"/>
    <w:rsid w:val="005F7AAF"/>
    <w:rsid w:val="006037E5"/>
    <w:rsid w:val="00622FD8"/>
    <w:rsid w:val="00631A30"/>
    <w:rsid w:val="00635A4F"/>
    <w:rsid w:val="00637008"/>
    <w:rsid w:val="00640F29"/>
    <w:rsid w:val="00641E69"/>
    <w:rsid w:val="00660BE7"/>
    <w:rsid w:val="006705D8"/>
    <w:rsid w:val="0067754A"/>
    <w:rsid w:val="0069543B"/>
    <w:rsid w:val="00696DFB"/>
    <w:rsid w:val="006A1073"/>
    <w:rsid w:val="006A25E6"/>
    <w:rsid w:val="006A4C3D"/>
    <w:rsid w:val="006B234F"/>
    <w:rsid w:val="006B77E8"/>
    <w:rsid w:val="006D0885"/>
    <w:rsid w:val="006D2DD0"/>
    <w:rsid w:val="006D4E17"/>
    <w:rsid w:val="006E486A"/>
    <w:rsid w:val="006F550B"/>
    <w:rsid w:val="00700828"/>
    <w:rsid w:val="00702A34"/>
    <w:rsid w:val="007107D3"/>
    <w:rsid w:val="00721FCA"/>
    <w:rsid w:val="00723034"/>
    <w:rsid w:val="0072432B"/>
    <w:rsid w:val="00727149"/>
    <w:rsid w:val="00730486"/>
    <w:rsid w:val="007322E2"/>
    <w:rsid w:val="00740275"/>
    <w:rsid w:val="00742820"/>
    <w:rsid w:val="0074498B"/>
    <w:rsid w:val="00745F28"/>
    <w:rsid w:val="00751830"/>
    <w:rsid w:val="00752778"/>
    <w:rsid w:val="00762DE2"/>
    <w:rsid w:val="007669AF"/>
    <w:rsid w:val="00767F3A"/>
    <w:rsid w:val="00770257"/>
    <w:rsid w:val="00771FC1"/>
    <w:rsid w:val="00773241"/>
    <w:rsid w:val="0078427F"/>
    <w:rsid w:val="00790B35"/>
    <w:rsid w:val="007B69AD"/>
    <w:rsid w:val="007C10D8"/>
    <w:rsid w:val="007C49B7"/>
    <w:rsid w:val="007D0AF4"/>
    <w:rsid w:val="007D0B8A"/>
    <w:rsid w:val="007D136C"/>
    <w:rsid w:val="007D2CA9"/>
    <w:rsid w:val="007D65C4"/>
    <w:rsid w:val="007D7E9F"/>
    <w:rsid w:val="007E1299"/>
    <w:rsid w:val="007F4E93"/>
    <w:rsid w:val="007F5F25"/>
    <w:rsid w:val="008008A1"/>
    <w:rsid w:val="00802625"/>
    <w:rsid w:val="00805D9D"/>
    <w:rsid w:val="00811198"/>
    <w:rsid w:val="0083206C"/>
    <w:rsid w:val="0084314E"/>
    <w:rsid w:val="00843282"/>
    <w:rsid w:val="0085394C"/>
    <w:rsid w:val="00853B5D"/>
    <w:rsid w:val="00860878"/>
    <w:rsid w:val="008622E7"/>
    <w:rsid w:val="008623EB"/>
    <w:rsid w:val="0086349A"/>
    <w:rsid w:val="00877318"/>
    <w:rsid w:val="008802DD"/>
    <w:rsid w:val="00880ED1"/>
    <w:rsid w:val="0088189D"/>
    <w:rsid w:val="00884CAE"/>
    <w:rsid w:val="008A262E"/>
    <w:rsid w:val="008C251A"/>
    <w:rsid w:val="008E51B7"/>
    <w:rsid w:val="008E7ECB"/>
    <w:rsid w:val="008F1853"/>
    <w:rsid w:val="008F37E2"/>
    <w:rsid w:val="008F7C3C"/>
    <w:rsid w:val="009000A1"/>
    <w:rsid w:val="00913074"/>
    <w:rsid w:val="009144BA"/>
    <w:rsid w:val="00916651"/>
    <w:rsid w:val="009216B2"/>
    <w:rsid w:val="009219A9"/>
    <w:rsid w:val="00942A85"/>
    <w:rsid w:val="00954812"/>
    <w:rsid w:val="00956349"/>
    <w:rsid w:val="00957011"/>
    <w:rsid w:val="0096140F"/>
    <w:rsid w:val="00977BA8"/>
    <w:rsid w:val="00986DF7"/>
    <w:rsid w:val="00996085"/>
    <w:rsid w:val="00997DDB"/>
    <w:rsid w:val="009A0D5D"/>
    <w:rsid w:val="009A0DB6"/>
    <w:rsid w:val="009A7736"/>
    <w:rsid w:val="009C636E"/>
    <w:rsid w:val="009D0006"/>
    <w:rsid w:val="009F0CA7"/>
    <w:rsid w:val="009F4027"/>
    <w:rsid w:val="009F4E8C"/>
    <w:rsid w:val="009F7F5F"/>
    <w:rsid w:val="00A008CD"/>
    <w:rsid w:val="00A1552A"/>
    <w:rsid w:val="00A2427B"/>
    <w:rsid w:val="00A337E9"/>
    <w:rsid w:val="00A40D74"/>
    <w:rsid w:val="00A452C7"/>
    <w:rsid w:val="00A514F0"/>
    <w:rsid w:val="00A5225A"/>
    <w:rsid w:val="00A54C55"/>
    <w:rsid w:val="00A5722F"/>
    <w:rsid w:val="00A70BCE"/>
    <w:rsid w:val="00A70BCF"/>
    <w:rsid w:val="00A713D1"/>
    <w:rsid w:val="00A75349"/>
    <w:rsid w:val="00A7721A"/>
    <w:rsid w:val="00A85B23"/>
    <w:rsid w:val="00A8673C"/>
    <w:rsid w:val="00A878C7"/>
    <w:rsid w:val="00AB04D1"/>
    <w:rsid w:val="00AB0F8F"/>
    <w:rsid w:val="00AB3B47"/>
    <w:rsid w:val="00AD1E4A"/>
    <w:rsid w:val="00AD54FD"/>
    <w:rsid w:val="00AD6AB3"/>
    <w:rsid w:val="00AE2653"/>
    <w:rsid w:val="00AF7F62"/>
    <w:rsid w:val="00B01F41"/>
    <w:rsid w:val="00B1565B"/>
    <w:rsid w:val="00B21D20"/>
    <w:rsid w:val="00B22D46"/>
    <w:rsid w:val="00B501CB"/>
    <w:rsid w:val="00B56C0A"/>
    <w:rsid w:val="00B63099"/>
    <w:rsid w:val="00B80F07"/>
    <w:rsid w:val="00BB06A6"/>
    <w:rsid w:val="00BB4E27"/>
    <w:rsid w:val="00BD2A96"/>
    <w:rsid w:val="00BD6A94"/>
    <w:rsid w:val="00BD6D74"/>
    <w:rsid w:val="00BE2418"/>
    <w:rsid w:val="00BE3598"/>
    <w:rsid w:val="00BE4831"/>
    <w:rsid w:val="00BF048D"/>
    <w:rsid w:val="00BF20A0"/>
    <w:rsid w:val="00BF5BC9"/>
    <w:rsid w:val="00C24053"/>
    <w:rsid w:val="00C24EEB"/>
    <w:rsid w:val="00C261EB"/>
    <w:rsid w:val="00C30FB2"/>
    <w:rsid w:val="00C3628C"/>
    <w:rsid w:val="00C42FB8"/>
    <w:rsid w:val="00C513E2"/>
    <w:rsid w:val="00C550F0"/>
    <w:rsid w:val="00C66875"/>
    <w:rsid w:val="00C74320"/>
    <w:rsid w:val="00C8063A"/>
    <w:rsid w:val="00C845EE"/>
    <w:rsid w:val="00C86C6B"/>
    <w:rsid w:val="00C86EF2"/>
    <w:rsid w:val="00CA16A6"/>
    <w:rsid w:val="00CA76DA"/>
    <w:rsid w:val="00CB348D"/>
    <w:rsid w:val="00CD163C"/>
    <w:rsid w:val="00CD4A07"/>
    <w:rsid w:val="00CD60C3"/>
    <w:rsid w:val="00CD6625"/>
    <w:rsid w:val="00CE294B"/>
    <w:rsid w:val="00CE33B8"/>
    <w:rsid w:val="00CF3B08"/>
    <w:rsid w:val="00CF4051"/>
    <w:rsid w:val="00D006CE"/>
    <w:rsid w:val="00D04A10"/>
    <w:rsid w:val="00D0600A"/>
    <w:rsid w:val="00D07FA9"/>
    <w:rsid w:val="00D15797"/>
    <w:rsid w:val="00D206C8"/>
    <w:rsid w:val="00D22897"/>
    <w:rsid w:val="00D230C0"/>
    <w:rsid w:val="00D534E9"/>
    <w:rsid w:val="00D53BF0"/>
    <w:rsid w:val="00D85331"/>
    <w:rsid w:val="00D911F4"/>
    <w:rsid w:val="00D951F4"/>
    <w:rsid w:val="00DA20F2"/>
    <w:rsid w:val="00DA65AE"/>
    <w:rsid w:val="00DC14D2"/>
    <w:rsid w:val="00DD13DC"/>
    <w:rsid w:val="00DE266C"/>
    <w:rsid w:val="00DE5470"/>
    <w:rsid w:val="00DE753C"/>
    <w:rsid w:val="00DF6674"/>
    <w:rsid w:val="00DF7645"/>
    <w:rsid w:val="00E06DBA"/>
    <w:rsid w:val="00E12F40"/>
    <w:rsid w:val="00E235E0"/>
    <w:rsid w:val="00E25688"/>
    <w:rsid w:val="00E26D1F"/>
    <w:rsid w:val="00E30994"/>
    <w:rsid w:val="00E32214"/>
    <w:rsid w:val="00E32EEA"/>
    <w:rsid w:val="00E43960"/>
    <w:rsid w:val="00E43C7D"/>
    <w:rsid w:val="00E4735B"/>
    <w:rsid w:val="00E554AF"/>
    <w:rsid w:val="00E56739"/>
    <w:rsid w:val="00E6002B"/>
    <w:rsid w:val="00E63175"/>
    <w:rsid w:val="00E73789"/>
    <w:rsid w:val="00E763DB"/>
    <w:rsid w:val="00E81F6E"/>
    <w:rsid w:val="00E82485"/>
    <w:rsid w:val="00E85CE9"/>
    <w:rsid w:val="00E90634"/>
    <w:rsid w:val="00E9206D"/>
    <w:rsid w:val="00E92698"/>
    <w:rsid w:val="00EA20E0"/>
    <w:rsid w:val="00EA3457"/>
    <w:rsid w:val="00EB6531"/>
    <w:rsid w:val="00EC1378"/>
    <w:rsid w:val="00EC1AAE"/>
    <w:rsid w:val="00ED20E6"/>
    <w:rsid w:val="00ED7994"/>
    <w:rsid w:val="00EE3E31"/>
    <w:rsid w:val="00EE45EF"/>
    <w:rsid w:val="00EF2F80"/>
    <w:rsid w:val="00F00363"/>
    <w:rsid w:val="00F0405F"/>
    <w:rsid w:val="00F05728"/>
    <w:rsid w:val="00F13D32"/>
    <w:rsid w:val="00F1636E"/>
    <w:rsid w:val="00F27844"/>
    <w:rsid w:val="00F312F3"/>
    <w:rsid w:val="00F4640C"/>
    <w:rsid w:val="00F47636"/>
    <w:rsid w:val="00F64255"/>
    <w:rsid w:val="00F669AC"/>
    <w:rsid w:val="00F7676F"/>
    <w:rsid w:val="00F823E5"/>
    <w:rsid w:val="00F84DAA"/>
    <w:rsid w:val="00F85F4B"/>
    <w:rsid w:val="00F90B2F"/>
    <w:rsid w:val="00F94436"/>
    <w:rsid w:val="00F97CA0"/>
    <w:rsid w:val="00FA6559"/>
    <w:rsid w:val="00FA7D60"/>
    <w:rsid w:val="00FB1655"/>
    <w:rsid w:val="00FC149E"/>
    <w:rsid w:val="00FC1970"/>
    <w:rsid w:val="00FF0169"/>
    <w:rsid w:val="00FF2152"/>
    <w:rsid w:val="00FF2F2E"/>
    <w:rsid w:val="00FF65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353C6"/>
  <w15:chartTrackingRefBased/>
  <w15:docId w15:val="{7EF009A0-CBDB-4DC6-AACF-09A6D5C4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5439C5"/>
    <w:pPr>
      <w:tabs>
        <w:tab w:val="center" w:pos="4252"/>
        <w:tab w:val="right" w:pos="8504"/>
      </w:tabs>
    </w:pPr>
    <w:rPr>
      <w:sz w:val="20"/>
      <w:szCs w:val="20"/>
      <w:lang w:val="es-ES_tradnl"/>
    </w:rPr>
  </w:style>
  <w:style w:type="paragraph" w:styleId="Piedepgina">
    <w:name w:val="footer"/>
    <w:basedOn w:val="Normal"/>
    <w:link w:val="PiedepginaCar"/>
    <w:uiPriority w:val="99"/>
    <w:rsid w:val="00B22D46"/>
    <w:pPr>
      <w:tabs>
        <w:tab w:val="center" w:pos="4252"/>
        <w:tab w:val="right" w:pos="8504"/>
      </w:tabs>
    </w:pPr>
  </w:style>
  <w:style w:type="paragraph" w:styleId="Textodeglobo">
    <w:name w:val="Balloon Text"/>
    <w:basedOn w:val="Normal"/>
    <w:link w:val="TextodegloboCar"/>
    <w:rsid w:val="002F7D11"/>
    <w:rPr>
      <w:rFonts w:ascii="Tahoma" w:hAnsi="Tahoma"/>
      <w:sz w:val="16"/>
      <w:szCs w:val="16"/>
    </w:rPr>
  </w:style>
  <w:style w:type="character" w:customStyle="1" w:styleId="TextodegloboCar">
    <w:name w:val="Texto de globo Car"/>
    <w:link w:val="Textodeglobo"/>
    <w:rsid w:val="002F7D11"/>
    <w:rPr>
      <w:rFonts w:ascii="Tahoma" w:hAnsi="Tahoma" w:cs="Tahoma"/>
      <w:sz w:val="16"/>
      <w:szCs w:val="16"/>
      <w:lang w:val="es-ES" w:eastAsia="es-ES"/>
    </w:rPr>
  </w:style>
  <w:style w:type="paragraph" w:styleId="Textonotapie">
    <w:name w:val="footnote text"/>
    <w:basedOn w:val="Normal"/>
    <w:link w:val="TextonotapieCar"/>
    <w:uiPriority w:val="99"/>
    <w:rsid w:val="008802DD"/>
    <w:rPr>
      <w:sz w:val="20"/>
      <w:szCs w:val="20"/>
    </w:rPr>
  </w:style>
  <w:style w:type="character" w:customStyle="1" w:styleId="TextonotapieCar">
    <w:name w:val="Texto nota pie Car"/>
    <w:basedOn w:val="Fuentedeprrafopredeter"/>
    <w:link w:val="Textonotapie"/>
    <w:uiPriority w:val="99"/>
    <w:rsid w:val="008802DD"/>
    <w:rPr>
      <w:lang w:val="es-ES" w:eastAsia="es-ES"/>
    </w:rPr>
  </w:style>
  <w:style w:type="character" w:styleId="Refdenotaalpie">
    <w:name w:val="footnote reference"/>
    <w:uiPriority w:val="99"/>
    <w:rsid w:val="008802DD"/>
    <w:rPr>
      <w:rFonts w:cs="Times New Roman"/>
      <w:vertAlign w:val="superscript"/>
    </w:rPr>
  </w:style>
  <w:style w:type="paragraph" w:styleId="Textoindependiente">
    <w:name w:val="Body Text"/>
    <w:basedOn w:val="Normal"/>
    <w:link w:val="TextoindependienteCar"/>
    <w:uiPriority w:val="99"/>
    <w:rsid w:val="008802DD"/>
    <w:pPr>
      <w:jc w:val="both"/>
    </w:pPr>
    <w:rPr>
      <w:rFonts w:ascii="Arial" w:hAnsi="Arial"/>
    </w:rPr>
  </w:style>
  <w:style w:type="character" w:customStyle="1" w:styleId="TextoindependienteCar">
    <w:name w:val="Texto independiente Car"/>
    <w:basedOn w:val="Fuentedeprrafopredeter"/>
    <w:link w:val="Textoindependiente"/>
    <w:uiPriority w:val="99"/>
    <w:rsid w:val="008802DD"/>
    <w:rPr>
      <w:rFonts w:ascii="Arial" w:hAnsi="Arial"/>
      <w:sz w:val="24"/>
      <w:szCs w:val="24"/>
      <w:lang w:val="es-ES" w:eastAsia="es-ES"/>
    </w:rPr>
  </w:style>
  <w:style w:type="paragraph" w:styleId="Prrafodelista">
    <w:name w:val="List Paragraph"/>
    <w:basedOn w:val="Normal"/>
    <w:uiPriority w:val="99"/>
    <w:qFormat/>
    <w:rsid w:val="008802DD"/>
    <w:pPr>
      <w:spacing w:after="200" w:line="276" w:lineRule="auto"/>
      <w:ind w:left="720"/>
      <w:contextualSpacing/>
    </w:pPr>
    <w:rPr>
      <w:rFonts w:ascii="Calibri" w:hAnsi="Calibri"/>
      <w:sz w:val="22"/>
      <w:szCs w:val="22"/>
      <w:lang w:val="es-CO" w:eastAsia="en-US"/>
    </w:rPr>
  </w:style>
  <w:style w:type="character" w:styleId="nfasis">
    <w:name w:val="Emphasis"/>
    <w:uiPriority w:val="20"/>
    <w:qFormat/>
    <w:rsid w:val="008802DD"/>
    <w:rPr>
      <w:i/>
      <w:iCs/>
    </w:rPr>
  </w:style>
  <w:style w:type="character" w:customStyle="1" w:styleId="apple-converted-space">
    <w:name w:val="apple-converted-space"/>
    <w:rsid w:val="008802DD"/>
  </w:style>
  <w:style w:type="character" w:styleId="Refdecomentario">
    <w:name w:val="annotation reference"/>
    <w:basedOn w:val="Fuentedeprrafopredeter"/>
    <w:rsid w:val="00843282"/>
    <w:rPr>
      <w:sz w:val="16"/>
      <w:szCs w:val="16"/>
    </w:rPr>
  </w:style>
  <w:style w:type="paragraph" w:styleId="Textocomentario">
    <w:name w:val="annotation text"/>
    <w:basedOn w:val="Normal"/>
    <w:link w:val="TextocomentarioCar"/>
    <w:rsid w:val="00843282"/>
    <w:rPr>
      <w:sz w:val="20"/>
      <w:szCs w:val="20"/>
    </w:rPr>
  </w:style>
  <w:style w:type="character" w:customStyle="1" w:styleId="TextocomentarioCar">
    <w:name w:val="Texto comentario Car"/>
    <w:basedOn w:val="Fuentedeprrafopredeter"/>
    <w:link w:val="Textocomentario"/>
    <w:rsid w:val="00843282"/>
    <w:rPr>
      <w:lang w:val="es-ES" w:eastAsia="es-ES"/>
    </w:rPr>
  </w:style>
  <w:style w:type="paragraph" w:styleId="Asuntodelcomentario">
    <w:name w:val="annotation subject"/>
    <w:basedOn w:val="Textocomentario"/>
    <w:next w:val="Textocomentario"/>
    <w:link w:val="AsuntodelcomentarioCar"/>
    <w:rsid w:val="00843282"/>
    <w:rPr>
      <w:b/>
      <w:bCs/>
    </w:rPr>
  </w:style>
  <w:style w:type="character" w:customStyle="1" w:styleId="AsuntodelcomentarioCar">
    <w:name w:val="Asunto del comentario Car"/>
    <w:basedOn w:val="TextocomentarioCar"/>
    <w:link w:val="Asuntodelcomentario"/>
    <w:rsid w:val="00843282"/>
    <w:rPr>
      <w:b/>
      <w:bCs/>
      <w:lang w:val="es-ES" w:eastAsia="es-ES"/>
    </w:rPr>
  </w:style>
  <w:style w:type="character" w:customStyle="1" w:styleId="PiedepginaCar">
    <w:name w:val="Pie de página Car"/>
    <w:basedOn w:val="Fuentedeprrafopredeter"/>
    <w:link w:val="Piedepgina"/>
    <w:uiPriority w:val="99"/>
    <w:rsid w:val="00AE2653"/>
    <w:rPr>
      <w:sz w:val="24"/>
      <w:szCs w:val="24"/>
      <w:lang w:val="es-ES" w:eastAsia="es-ES"/>
    </w:rPr>
  </w:style>
  <w:style w:type="character" w:styleId="Hipervnculo">
    <w:name w:val="Hyperlink"/>
    <w:basedOn w:val="Fuentedeprrafopredeter"/>
    <w:rsid w:val="0067754A"/>
    <w:rPr>
      <w:color w:val="0563C1" w:themeColor="hyperlink"/>
      <w:u w:val="single"/>
    </w:rPr>
  </w:style>
  <w:style w:type="character" w:styleId="Mencinsinresolver">
    <w:name w:val="Unresolved Mention"/>
    <w:basedOn w:val="Fuentedeprrafopredeter"/>
    <w:uiPriority w:val="99"/>
    <w:semiHidden/>
    <w:unhideWhenUsed/>
    <w:rsid w:val="0067754A"/>
    <w:rPr>
      <w:color w:val="605E5C"/>
      <w:shd w:val="clear" w:color="auto" w:fill="E1DFDD"/>
    </w:rPr>
  </w:style>
  <w:style w:type="paragraph" w:styleId="Revisin">
    <w:name w:val="Revision"/>
    <w:hidden/>
    <w:uiPriority w:val="99"/>
    <w:semiHidden/>
    <w:rsid w:val="00485425"/>
    <w:rPr>
      <w:sz w:val="24"/>
      <w:szCs w:val="24"/>
      <w:lang w:val="es-ES" w:eastAsia="es-ES"/>
    </w:rPr>
  </w:style>
  <w:style w:type="paragraph" w:styleId="NormalWeb">
    <w:name w:val="Normal (Web)"/>
    <w:basedOn w:val="Normal"/>
    <w:uiPriority w:val="99"/>
    <w:unhideWhenUsed/>
    <w:rsid w:val="006D0885"/>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04926">
      <w:bodyDiv w:val="1"/>
      <w:marLeft w:val="0"/>
      <w:marRight w:val="0"/>
      <w:marTop w:val="0"/>
      <w:marBottom w:val="0"/>
      <w:divBdr>
        <w:top w:val="none" w:sz="0" w:space="0" w:color="auto"/>
        <w:left w:val="none" w:sz="0" w:space="0" w:color="auto"/>
        <w:bottom w:val="none" w:sz="0" w:space="0" w:color="auto"/>
        <w:right w:val="none" w:sz="0" w:space="0" w:color="auto"/>
      </w:divBdr>
    </w:div>
    <w:div w:id="800926853">
      <w:bodyDiv w:val="1"/>
      <w:marLeft w:val="0"/>
      <w:marRight w:val="0"/>
      <w:marTop w:val="0"/>
      <w:marBottom w:val="0"/>
      <w:divBdr>
        <w:top w:val="none" w:sz="0" w:space="0" w:color="auto"/>
        <w:left w:val="none" w:sz="0" w:space="0" w:color="auto"/>
        <w:bottom w:val="none" w:sz="0" w:space="0" w:color="auto"/>
        <w:right w:val="none" w:sz="0" w:space="0" w:color="auto"/>
      </w:divBdr>
    </w:div>
    <w:div w:id="1100642616">
      <w:bodyDiv w:val="1"/>
      <w:marLeft w:val="0"/>
      <w:marRight w:val="0"/>
      <w:marTop w:val="0"/>
      <w:marBottom w:val="0"/>
      <w:divBdr>
        <w:top w:val="none" w:sz="0" w:space="0" w:color="auto"/>
        <w:left w:val="none" w:sz="0" w:space="0" w:color="auto"/>
        <w:bottom w:val="none" w:sz="0" w:space="0" w:color="auto"/>
        <w:right w:val="none" w:sz="0" w:space="0" w:color="auto"/>
      </w:divBdr>
    </w:div>
    <w:div w:id="1306742531">
      <w:bodyDiv w:val="1"/>
      <w:marLeft w:val="0"/>
      <w:marRight w:val="0"/>
      <w:marTop w:val="0"/>
      <w:marBottom w:val="0"/>
      <w:divBdr>
        <w:top w:val="none" w:sz="0" w:space="0" w:color="auto"/>
        <w:left w:val="none" w:sz="0" w:space="0" w:color="auto"/>
        <w:bottom w:val="none" w:sz="0" w:space="0" w:color="auto"/>
        <w:right w:val="none" w:sz="0" w:space="0" w:color="auto"/>
      </w:divBdr>
    </w:div>
    <w:div w:id="177066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cnpsd.fogafin.gov.co"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amento xmlns="86fbb03e-06d9-4e12-899b-85ae2e791394">Jurídico</Departamento>
    <Macroprocesos xmlns="3410525b-d2fa-4a3d-a768-156301000eb6">14</Macroproceso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AE666FF-745A-4CAA-8FFA-37E7A7E8BE81}">
  <ds:schemaRefs>
    <ds:schemaRef ds:uri="http://schemas.openxmlformats.org/officeDocument/2006/bibliography"/>
  </ds:schemaRefs>
</ds:datastoreItem>
</file>

<file path=customXml/itemProps2.xml><?xml version="1.0" encoding="utf-8"?>
<ds:datastoreItem xmlns:ds="http://schemas.openxmlformats.org/officeDocument/2006/customXml" ds:itemID="{60D97ABC-339B-4055-B537-56DE2BF26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B5FF9-95D0-4808-A519-3047F4EA1FF2}">
  <ds:schemaRefs>
    <ds:schemaRef ds:uri="http://schemas.microsoft.com/sharepoint/v3/contenttype/forms"/>
  </ds:schemaRefs>
</ds:datastoreItem>
</file>

<file path=customXml/itemProps4.xml><?xml version="1.0" encoding="utf-8"?>
<ds:datastoreItem xmlns:ds="http://schemas.openxmlformats.org/officeDocument/2006/customXml" ds:itemID="{0B3FB3F7-35DB-43AD-BCE4-3049BFA3ABC0}">
  <ds:schemaRefs>
    <ds:schemaRef ds:uri="http://schemas.microsoft.com/office/2006/metadata/properties"/>
    <ds:schemaRef ds:uri="http://schemas.microsoft.com/office/infopath/2007/PartnerControls"/>
    <ds:schemaRef ds:uri="86fbb03e-06d9-4e12-899b-85ae2e791394"/>
    <ds:schemaRef ds:uri="3410525b-d2fa-4a3d-a768-156301000eb6"/>
  </ds:schemaRefs>
</ds:datastoreItem>
</file>

<file path=customXml/itemProps5.xml><?xml version="1.0" encoding="utf-8"?>
<ds:datastoreItem xmlns:ds="http://schemas.openxmlformats.org/officeDocument/2006/customXml" ds:itemID="{2B39F133-D2DE-48F0-BE25-E390D7D37E1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2696</Words>
  <Characters>14832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INDTITUCIONES FINANCIERAS</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DE GARANTIAS DE</dc:creator>
  <cp:keywords/>
  <cp:lastModifiedBy>EFREN CAMACHO</cp:lastModifiedBy>
  <cp:revision>3</cp:revision>
  <cp:lastPrinted>2008-10-02T22:26:00Z</cp:lastPrinted>
  <dcterms:created xsi:type="dcterms:W3CDTF">2022-08-01T21:05:00Z</dcterms:created>
  <dcterms:modified xsi:type="dcterms:W3CDTF">2022-08-01T21:05:00Z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0x010100D6EA729DC2D5364692565BF43CEEA661</vt:lpwstr>
  </property>
</Properties>
</file>