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681A" w14:textId="734B1003" w:rsidR="00476715" w:rsidRPr="00D15797" w:rsidRDefault="00D15797" w:rsidP="008E0346">
      <w:pPr>
        <w:tabs>
          <w:tab w:val="left" w:pos="7065"/>
        </w:tabs>
      </w:pPr>
      <w:r>
        <w:tab/>
      </w:r>
    </w:p>
    <w:p w14:paraId="4DCE5CC9" w14:textId="77777777" w:rsidR="00D15CC8" w:rsidRDefault="00D15CC8" w:rsidP="008E0346">
      <w:pPr>
        <w:jc w:val="center"/>
        <w:rPr>
          <w:rFonts w:ascii="Arial" w:hAnsi="Arial" w:cs="Arial"/>
          <w:b/>
          <w:sz w:val="25"/>
          <w:szCs w:val="25"/>
        </w:rPr>
      </w:pPr>
    </w:p>
    <w:p w14:paraId="6F4CE070" w14:textId="77777777" w:rsidR="00D15CC8" w:rsidRDefault="00D15CC8" w:rsidP="008E0346">
      <w:pPr>
        <w:jc w:val="center"/>
        <w:rPr>
          <w:rFonts w:ascii="Arial" w:hAnsi="Arial" w:cs="Arial"/>
          <w:b/>
          <w:sz w:val="25"/>
          <w:szCs w:val="25"/>
        </w:rPr>
      </w:pPr>
    </w:p>
    <w:p w14:paraId="4D7FFA1F" w14:textId="00CA6337" w:rsidR="00FC0A5D" w:rsidRDefault="00FC0A5D" w:rsidP="008E0346">
      <w:pPr>
        <w:jc w:val="center"/>
        <w:rPr>
          <w:rFonts w:ascii="Arial" w:hAnsi="Arial" w:cs="Arial"/>
          <w:b/>
          <w:sz w:val="25"/>
          <w:szCs w:val="25"/>
        </w:rPr>
      </w:pPr>
      <w:r w:rsidRPr="008802DD">
        <w:rPr>
          <w:rFonts w:ascii="Arial" w:hAnsi="Arial" w:cs="Arial"/>
          <w:b/>
          <w:sz w:val="25"/>
          <w:szCs w:val="25"/>
        </w:rPr>
        <w:t xml:space="preserve">CIRCULAR </w:t>
      </w:r>
      <w:r w:rsidR="00C17A14">
        <w:rPr>
          <w:rFonts w:ascii="Arial" w:hAnsi="Arial" w:cs="Arial"/>
          <w:b/>
          <w:sz w:val="25"/>
          <w:szCs w:val="25"/>
        </w:rPr>
        <w:t>EXTERNA</w:t>
      </w:r>
    </w:p>
    <w:p w14:paraId="2855F4B0" w14:textId="0498D4CA" w:rsidR="00042733" w:rsidRDefault="00042733" w:rsidP="008E0346">
      <w:pPr>
        <w:jc w:val="center"/>
        <w:rPr>
          <w:rFonts w:ascii="Arial" w:hAnsi="Arial" w:cs="Arial"/>
          <w:b/>
          <w:sz w:val="25"/>
          <w:szCs w:val="25"/>
        </w:rPr>
      </w:pPr>
    </w:p>
    <w:p w14:paraId="41AB58BE" w14:textId="77777777" w:rsidR="00FC0A5D" w:rsidRPr="008802DD" w:rsidRDefault="00FC0A5D" w:rsidP="008E0346">
      <w:pPr>
        <w:jc w:val="center"/>
        <w:rPr>
          <w:rFonts w:ascii="Arial" w:hAnsi="Arial" w:cs="Arial"/>
          <w:b/>
          <w:sz w:val="25"/>
          <w:szCs w:val="25"/>
        </w:rPr>
      </w:pPr>
    </w:p>
    <w:p w14:paraId="56B815CA" w14:textId="22477C4E" w:rsidR="00FC0A5D" w:rsidRPr="008802DD" w:rsidRDefault="00FC0A5D" w:rsidP="008E0346">
      <w:pPr>
        <w:jc w:val="both"/>
        <w:rPr>
          <w:rFonts w:ascii="Arial" w:hAnsi="Arial" w:cs="Arial"/>
          <w:sz w:val="25"/>
          <w:szCs w:val="25"/>
        </w:rPr>
      </w:pPr>
      <w:r w:rsidRPr="00074F2A">
        <w:rPr>
          <w:rFonts w:ascii="Arial" w:hAnsi="Arial" w:cs="Arial"/>
          <w:sz w:val="25"/>
          <w:szCs w:val="25"/>
        </w:rPr>
        <w:t xml:space="preserve">Bogotá, D.C., </w:t>
      </w:r>
    </w:p>
    <w:p w14:paraId="685651C9" w14:textId="77777777" w:rsidR="00476715" w:rsidRPr="001F790A" w:rsidRDefault="00476715" w:rsidP="008E0346">
      <w:pPr>
        <w:jc w:val="both"/>
        <w:rPr>
          <w:rFonts w:ascii="Arial" w:hAnsi="Arial" w:cs="Arial"/>
        </w:rPr>
      </w:pPr>
    </w:p>
    <w:p w14:paraId="528C77D7" w14:textId="77777777" w:rsidR="00476715" w:rsidRPr="001F790A" w:rsidRDefault="00476715" w:rsidP="008E0346">
      <w:pPr>
        <w:jc w:val="both"/>
        <w:rPr>
          <w:rFonts w:ascii="Arial" w:hAnsi="Arial" w:cs="Arial"/>
        </w:rPr>
      </w:pPr>
    </w:p>
    <w:p w14:paraId="4C93991F" w14:textId="3A346EAA" w:rsidR="00D52555" w:rsidRPr="008802DD" w:rsidRDefault="00476715" w:rsidP="008E0346">
      <w:pPr>
        <w:ind w:left="1134" w:hanging="1134"/>
        <w:jc w:val="both"/>
        <w:rPr>
          <w:rFonts w:ascii="Arial" w:hAnsi="Arial" w:cs="Arial"/>
          <w:sz w:val="25"/>
          <w:szCs w:val="25"/>
        </w:rPr>
      </w:pPr>
      <w:r w:rsidRPr="001F790A">
        <w:rPr>
          <w:rFonts w:ascii="Arial" w:hAnsi="Arial" w:cs="Arial"/>
        </w:rPr>
        <w:t>PARA</w:t>
      </w:r>
      <w:r w:rsidR="00D52555">
        <w:rPr>
          <w:rFonts w:ascii="Arial" w:hAnsi="Arial" w:cs="Arial"/>
        </w:rPr>
        <w:tab/>
      </w:r>
      <w:r w:rsidR="00C17A14">
        <w:rPr>
          <w:rFonts w:ascii="Arial" w:hAnsi="Arial" w:cs="Arial"/>
        </w:rPr>
        <w:t>REPRESENTANTES LEGALES DE ESTABLECIMIENTOS BANCARIOS, COMPAÑÍAS DE FINANCIAMIENTO</w:t>
      </w:r>
      <w:r w:rsidR="00C17A14" w:rsidRPr="009A30D9">
        <w:rPr>
          <w:rFonts w:ascii="Arial" w:hAnsi="Arial" w:cs="Arial"/>
        </w:rPr>
        <w:t xml:space="preserve"> </w:t>
      </w:r>
      <w:r w:rsidR="00C17A14">
        <w:rPr>
          <w:rFonts w:ascii="Arial" w:hAnsi="Arial" w:cs="Arial"/>
        </w:rPr>
        <w:t>Y CORPORACIONES FINANCIERAS</w:t>
      </w:r>
    </w:p>
    <w:p w14:paraId="71DE5B8E" w14:textId="0D8F4696" w:rsidR="00476715" w:rsidRPr="001F790A" w:rsidRDefault="00476715" w:rsidP="008E0346">
      <w:pPr>
        <w:jc w:val="both"/>
        <w:rPr>
          <w:rFonts w:ascii="Arial" w:hAnsi="Arial" w:cs="Arial"/>
        </w:rPr>
      </w:pPr>
    </w:p>
    <w:p w14:paraId="7A6B385D" w14:textId="77777777" w:rsidR="00476715" w:rsidRPr="001F790A" w:rsidRDefault="0093130F" w:rsidP="008E03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3BC3D1" w14:textId="3D4FDA18" w:rsidR="00476715" w:rsidRDefault="001F790A" w:rsidP="008E0346">
      <w:pPr>
        <w:jc w:val="both"/>
        <w:rPr>
          <w:rFonts w:ascii="Arial" w:hAnsi="Arial" w:cs="Arial"/>
        </w:rPr>
      </w:pPr>
      <w:r w:rsidRPr="001F790A">
        <w:rPr>
          <w:rFonts w:ascii="Arial" w:hAnsi="Arial" w:cs="Arial"/>
        </w:rPr>
        <w:t>Asunto</w:t>
      </w:r>
      <w:r w:rsidR="00476715" w:rsidRPr="001F790A">
        <w:rPr>
          <w:rFonts w:ascii="Arial" w:hAnsi="Arial" w:cs="Arial"/>
        </w:rPr>
        <w:t xml:space="preserve">:    </w:t>
      </w:r>
      <w:r w:rsidR="008E0346">
        <w:rPr>
          <w:rFonts w:ascii="Arial" w:hAnsi="Arial" w:cs="Arial"/>
        </w:rPr>
        <w:t>Cálculo del c</w:t>
      </w:r>
      <w:r w:rsidR="0093130F">
        <w:rPr>
          <w:rFonts w:ascii="Arial" w:hAnsi="Arial" w:cs="Arial"/>
        </w:rPr>
        <w:t>oeficiente de ajuste para el año 202</w:t>
      </w:r>
      <w:r w:rsidR="005C2BBA">
        <w:rPr>
          <w:rFonts w:ascii="Arial" w:hAnsi="Arial" w:cs="Arial"/>
        </w:rPr>
        <w:t>1</w:t>
      </w:r>
      <w:r w:rsidR="00476715" w:rsidRPr="001F790A">
        <w:rPr>
          <w:rFonts w:ascii="Arial" w:hAnsi="Arial" w:cs="Arial"/>
        </w:rPr>
        <w:t xml:space="preserve"> </w:t>
      </w:r>
    </w:p>
    <w:p w14:paraId="73925F25" w14:textId="77777777" w:rsidR="001B7FE5" w:rsidRPr="001F790A" w:rsidRDefault="001B7FE5" w:rsidP="008E0346">
      <w:pPr>
        <w:jc w:val="both"/>
        <w:rPr>
          <w:rFonts w:ascii="Arial" w:hAnsi="Arial" w:cs="Arial"/>
        </w:rPr>
      </w:pPr>
    </w:p>
    <w:p w14:paraId="49D3D50F" w14:textId="77777777" w:rsidR="00476715" w:rsidRDefault="00476715" w:rsidP="008E0346">
      <w:pPr>
        <w:jc w:val="both"/>
        <w:rPr>
          <w:rFonts w:ascii="Arial" w:hAnsi="Arial" w:cs="Arial"/>
        </w:rPr>
      </w:pPr>
    </w:p>
    <w:p w14:paraId="55577435" w14:textId="6A7F54C2" w:rsidR="003E4CD3" w:rsidRPr="003E4CD3" w:rsidRDefault="003E4CD3" w:rsidP="008E034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5"/>
          <w:szCs w:val="25"/>
        </w:rPr>
      </w:pPr>
      <w:r w:rsidRPr="008802DD">
        <w:rPr>
          <w:rFonts w:ascii="Arial" w:hAnsi="Arial" w:cs="Arial"/>
          <w:b/>
          <w:sz w:val="25"/>
          <w:szCs w:val="25"/>
        </w:rPr>
        <w:t xml:space="preserve">OBJETIVO </w:t>
      </w:r>
    </w:p>
    <w:p w14:paraId="5EA179C4" w14:textId="3B6E9D71" w:rsidR="00A209A4" w:rsidRDefault="005F21FD" w:rsidP="008E034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936F7" w:rsidRPr="00D17356">
        <w:rPr>
          <w:rFonts w:ascii="Arial" w:hAnsi="Arial" w:cs="Arial"/>
        </w:rPr>
        <w:t xml:space="preserve">resentar </w:t>
      </w:r>
      <w:r>
        <w:rPr>
          <w:rFonts w:ascii="Arial" w:hAnsi="Arial" w:cs="Arial"/>
        </w:rPr>
        <w:t xml:space="preserve">el cálculo de los parámetros y del </w:t>
      </w:r>
      <w:r w:rsidR="008936F7" w:rsidRPr="00D17356">
        <w:rPr>
          <w:rFonts w:ascii="Arial" w:hAnsi="Arial" w:cs="Arial"/>
        </w:rPr>
        <w:t>coeficiente de ajuste</w:t>
      </w:r>
      <w:r w:rsidR="008936F7">
        <w:rPr>
          <w:rFonts w:ascii="Arial" w:hAnsi="Arial" w:cs="Arial"/>
        </w:rPr>
        <w:t xml:space="preserve"> para el año 202</w:t>
      </w:r>
      <w:r w:rsidR="005C2BBA">
        <w:rPr>
          <w:rFonts w:ascii="Arial" w:hAnsi="Arial" w:cs="Arial"/>
        </w:rPr>
        <w:t>1</w:t>
      </w:r>
      <w:r w:rsidR="008936F7" w:rsidRPr="00D17356">
        <w:rPr>
          <w:rFonts w:ascii="Arial" w:hAnsi="Arial" w:cs="Arial"/>
        </w:rPr>
        <w:t>.</w:t>
      </w:r>
    </w:p>
    <w:p w14:paraId="4BDAFF6C" w14:textId="2B85B5D1" w:rsidR="003E4CD3" w:rsidRDefault="003E4CD3" w:rsidP="008E0346">
      <w:pPr>
        <w:jc w:val="both"/>
        <w:rPr>
          <w:rFonts w:ascii="Arial" w:hAnsi="Arial" w:cs="Arial"/>
        </w:rPr>
      </w:pPr>
    </w:p>
    <w:p w14:paraId="72C17493" w14:textId="683E256F" w:rsidR="003E4CD3" w:rsidRPr="008802DD" w:rsidRDefault="00F81D49" w:rsidP="008E0346">
      <w:pPr>
        <w:numPr>
          <w:ilvl w:val="0"/>
          <w:numId w:val="2"/>
        </w:numPr>
        <w:rPr>
          <w:rFonts w:ascii="Arial" w:hAnsi="Arial" w:cs="Arial"/>
          <w:b/>
          <w:sz w:val="25"/>
          <w:szCs w:val="25"/>
          <w:lang w:val="es-CO" w:eastAsia="en-US"/>
        </w:rPr>
      </w:pPr>
      <w:r>
        <w:rPr>
          <w:rFonts w:ascii="Arial" w:hAnsi="Arial" w:cs="Arial"/>
          <w:b/>
          <w:sz w:val="25"/>
          <w:szCs w:val="25"/>
          <w:lang w:val="es-CO" w:eastAsia="en-US"/>
        </w:rPr>
        <w:t>PR</w:t>
      </w:r>
      <w:r w:rsidR="000F0B19">
        <w:rPr>
          <w:rFonts w:ascii="Arial" w:hAnsi="Arial" w:cs="Arial"/>
          <w:b/>
          <w:sz w:val="25"/>
          <w:szCs w:val="25"/>
          <w:lang w:val="es-CO" w:eastAsia="en-US"/>
        </w:rPr>
        <w:t>ONÓSTICO</w:t>
      </w:r>
      <w:r>
        <w:rPr>
          <w:rFonts w:ascii="Arial" w:hAnsi="Arial" w:cs="Arial"/>
          <w:b/>
          <w:sz w:val="25"/>
          <w:szCs w:val="25"/>
          <w:lang w:val="es-CO" w:eastAsia="en-US"/>
        </w:rPr>
        <w:t xml:space="preserve"> </w:t>
      </w:r>
      <w:r w:rsidR="003E6A2D">
        <w:rPr>
          <w:rFonts w:ascii="Arial" w:hAnsi="Arial" w:cs="Arial"/>
          <w:b/>
          <w:sz w:val="25"/>
          <w:szCs w:val="25"/>
          <w:lang w:val="es-CO" w:eastAsia="en-US"/>
        </w:rPr>
        <w:t xml:space="preserve">DE </w:t>
      </w:r>
      <w:r w:rsidR="003E4CD3">
        <w:rPr>
          <w:rFonts w:ascii="Arial" w:hAnsi="Arial" w:cs="Arial"/>
          <w:b/>
          <w:sz w:val="25"/>
          <w:szCs w:val="25"/>
          <w:lang w:val="es-CO" w:eastAsia="en-US"/>
        </w:rPr>
        <w:t>PARÁMETROS</w:t>
      </w:r>
    </w:p>
    <w:p w14:paraId="223ECD55" w14:textId="77777777" w:rsidR="003E4CD3" w:rsidRPr="008802DD" w:rsidRDefault="003E4CD3" w:rsidP="008E0346">
      <w:pPr>
        <w:ind w:left="360"/>
        <w:rPr>
          <w:rFonts w:ascii="Arial" w:hAnsi="Arial" w:cs="Arial"/>
          <w:b/>
          <w:sz w:val="25"/>
          <w:szCs w:val="25"/>
          <w:lang w:val="es-CO" w:eastAsia="en-US"/>
        </w:rPr>
      </w:pPr>
    </w:p>
    <w:p w14:paraId="439CD5C3" w14:textId="139B0963" w:rsidR="003E4CD3" w:rsidRPr="003E4CD3" w:rsidRDefault="00F81D49" w:rsidP="008E0346">
      <w:pPr>
        <w:numPr>
          <w:ilvl w:val="1"/>
          <w:numId w:val="2"/>
        </w:numPr>
        <w:jc w:val="both"/>
        <w:rPr>
          <w:rFonts w:ascii="Arial" w:hAnsi="Arial" w:cs="Arial"/>
          <w:b/>
          <w:sz w:val="25"/>
          <w:szCs w:val="25"/>
          <w:lang w:val="es-CO" w:eastAsia="en-US"/>
        </w:rPr>
      </w:pPr>
      <w:r w:rsidRPr="009A30D9">
        <w:rPr>
          <w:rFonts w:ascii="Arial" w:hAnsi="Arial" w:cs="Arial"/>
          <w:b/>
        </w:rPr>
        <w:t>Pronóstico de la tasa de crecimiento anual de los depósitos asegurables</w:t>
      </w:r>
    </w:p>
    <w:p w14:paraId="73C93276" w14:textId="6A2D4D45" w:rsidR="00645580" w:rsidRDefault="00645580" w:rsidP="008E0346">
      <w:pPr>
        <w:spacing w:before="240"/>
        <w:ind w:left="851"/>
        <w:jc w:val="both"/>
        <w:rPr>
          <w:rFonts w:ascii="Arial" w:hAnsi="Arial" w:cs="Arial"/>
        </w:rPr>
      </w:pPr>
      <w:r w:rsidRPr="00D17356">
        <w:rPr>
          <w:rFonts w:ascii="Arial" w:hAnsi="Arial" w:cs="Arial"/>
        </w:rPr>
        <w:t>La tasa de crecimiento de los depósitos</w:t>
      </w:r>
      <w:r w:rsidR="003E4CD3">
        <w:rPr>
          <w:rFonts w:ascii="Arial" w:hAnsi="Arial" w:cs="Arial"/>
        </w:rPr>
        <w:t xml:space="preserve"> </w:t>
      </w:r>
      <w:r w:rsidRPr="00D17356">
        <w:rPr>
          <w:rFonts w:ascii="Arial" w:hAnsi="Arial" w:cs="Arial"/>
        </w:rPr>
        <w:t xml:space="preserve">se </w:t>
      </w:r>
      <w:r w:rsidR="000F0B19">
        <w:rPr>
          <w:rFonts w:ascii="Arial" w:hAnsi="Arial" w:cs="Arial"/>
        </w:rPr>
        <w:t>pronosticó</w:t>
      </w:r>
      <w:r w:rsidR="000F0B19" w:rsidRPr="00D17356">
        <w:rPr>
          <w:rFonts w:ascii="Arial" w:hAnsi="Arial" w:cs="Arial"/>
        </w:rPr>
        <w:t xml:space="preserve"> </w:t>
      </w:r>
      <w:r w:rsidRPr="00D17356">
        <w:rPr>
          <w:rFonts w:ascii="Arial" w:hAnsi="Arial" w:cs="Arial"/>
        </w:rPr>
        <w:t xml:space="preserve">usando el promedio de los últimos </w:t>
      </w:r>
      <w:r>
        <w:rPr>
          <w:rFonts w:ascii="Arial" w:hAnsi="Arial" w:cs="Arial"/>
        </w:rPr>
        <w:t xml:space="preserve">cuatro (4) </w:t>
      </w:r>
      <w:r w:rsidRPr="00D17356">
        <w:rPr>
          <w:rFonts w:ascii="Arial" w:hAnsi="Arial" w:cs="Arial"/>
        </w:rPr>
        <w:t xml:space="preserve">años </w:t>
      </w:r>
      <w:r>
        <w:rPr>
          <w:rFonts w:ascii="Arial" w:hAnsi="Arial" w:cs="Arial"/>
        </w:rPr>
        <w:t>de la información histórica disponible</w:t>
      </w:r>
      <w:r w:rsidRPr="00D17356">
        <w:rPr>
          <w:rFonts w:ascii="Arial" w:hAnsi="Arial" w:cs="Arial"/>
        </w:rPr>
        <w:t xml:space="preserve">. </w:t>
      </w:r>
      <w:r w:rsidR="0056343A" w:rsidRPr="0056343A">
        <w:rPr>
          <w:rFonts w:ascii="Arial" w:hAnsi="Arial" w:cs="Arial"/>
        </w:rPr>
        <w:t xml:space="preserve">De acuerdo con </w:t>
      </w:r>
      <w:r w:rsidR="000F0B19">
        <w:rPr>
          <w:rFonts w:ascii="Arial" w:hAnsi="Arial" w:cs="Arial"/>
        </w:rPr>
        <w:t>este resultado</w:t>
      </w:r>
      <w:r w:rsidR="0056343A" w:rsidRPr="0056343A">
        <w:rPr>
          <w:rFonts w:ascii="Arial" w:hAnsi="Arial" w:cs="Arial"/>
        </w:rPr>
        <w:t xml:space="preserve">, se </w:t>
      </w:r>
      <w:r w:rsidR="000F0B19">
        <w:rPr>
          <w:rFonts w:ascii="Arial" w:hAnsi="Arial" w:cs="Arial"/>
        </w:rPr>
        <w:t>pronostica</w:t>
      </w:r>
      <w:r w:rsidR="000F0B19" w:rsidRPr="0056343A">
        <w:rPr>
          <w:rFonts w:ascii="Arial" w:hAnsi="Arial" w:cs="Arial"/>
        </w:rPr>
        <w:t xml:space="preserve"> </w:t>
      </w:r>
      <w:r w:rsidR="0056343A" w:rsidRPr="0056343A">
        <w:rPr>
          <w:rFonts w:ascii="Arial" w:hAnsi="Arial" w:cs="Arial"/>
        </w:rPr>
        <w:t>que la tasa de crecimiento</w:t>
      </w:r>
      <w:r w:rsidR="0056343A">
        <w:rPr>
          <w:rFonts w:ascii="Arial" w:hAnsi="Arial" w:cs="Arial"/>
        </w:rPr>
        <w:t xml:space="preserve"> promedio </w:t>
      </w:r>
      <w:r w:rsidR="0056343A" w:rsidRPr="0056343A">
        <w:rPr>
          <w:rFonts w:ascii="Arial" w:hAnsi="Arial" w:cs="Arial"/>
        </w:rPr>
        <w:t>de los depósitos para el</w:t>
      </w:r>
      <w:r w:rsidR="0056343A">
        <w:rPr>
          <w:rFonts w:ascii="Arial" w:hAnsi="Arial" w:cs="Arial"/>
        </w:rPr>
        <w:t xml:space="preserve"> periodo 2020 - 2029</w:t>
      </w:r>
      <w:r w:rsidR="0056343A" w:rsidRPr="0056343A">
        <w:rPr>
          <w:rFonts w:ascii="Arial" w:hAnsi="Arial" w:cs="Arial"/>
        </w:rPr>
        <w:t xml:space="preserve"> </w:t>
      </w:r>
      <w:r w:rsidR="000F0B19" w:rsidRPr="0056343A">
        <w:rPr>
          <w:rFonts w:ascii="Arial" w:hAnsi="Arial" w:cs="Arial"/>
        </w:rPr>
        <w:t>se</w:t>
      </w:r>
      <w:r w:rsidR="000F0B19">
        <w:rPr>
          <w:rFonts w:ascii="Arial" w:hAnsi="Arial" w:cs="Arial"/>
        </w:rPr>
        <w:t>rá</w:t>
      </w:r>
      <w:r w:rsidR="000F0B19" w:rsidRPr="0056343A">
        <w:rPr>
          <w:rFonts w:ascii="Arial" w:hAnsi="Arial" w:cs="Arial"/>
        </w:rPr>
        <w:t xml:space="preserve"> </w:t>
      </w:r>
      <w:r w:rsidR="0056343A" w:rsidRPr="0056343A">
        <w:rPr>
          <w:rFonts w:ascii="Arial" w:hAnsi="Arial" w:cs="Arial"/>
        </w:rPr>
        <w:t xml:space="preserve">de </w:t>
      </w:r>
      <w:r w:rsidR="0056343A" w:rsidRPr="008F5991">
        <w:rPr>
          <w:rFonts w:ascii="Arial" w:hAnsi="Arial" w:cs="Arial"/>
        </w:rPr>
        <w:t>7.</w:t>
      </w:r>
      <w:r w:rsidR="005C2BBA" w:rsidRPr="008F5991">
        <w:rPr>
          <w:rFonts w:ascii="Arial" w:hAnsi="Arial" w:cs="Arial"/>
        </w:rPr>
        <w:t>5</w:t>
      </w:r>
      <w:r w:rsidR="0056343A" w:rsidRPr="008F5991">
        <w:rPr>
          <w:rFonts w:ascii="Arial" w:hAnsi="Arial" w:cs="Arial"/>
        </w:rPr>
        <w:t>%</w:t>
      </w:r>
      <w:r w:rsidR="00D84B99" w:rsidRPr="008F5991">
        <w:rPr>
          <w:rFonts w:ascii="Arial" w:hAnsi="Arial" w:cs="Arial"/>
        </w:rPr>
        <w:t>.</w:t>
      </w:r>
      <w:r w:rsidR="0056343A">
        <w:rPr>
          <w:rFonts w:ascii="Arial" w:hAnsi="Arial" w:cs="Arial"/>
        </w:rPr>
        <w:t xml:space="preserve"> </w:t>
      </w:r>
    </w:p>
    <w:p w14:paraId="095B49E9" w14:textId="77777777" w:rsidR="00033C58" w:rsidRDefault="00033C58" w:rsidP="008E0346">
      <w:pPr>
        <w:spacing w:before="240"/>
        <w:ind w:left="851"/>
        <w:jc w:val="both"/>
        <w:rPr>
          <w:rFonts w:ascii="Arial" w:hAnsi="Arial" w:cs="Arial"/>
        </w:rPr>
      </w:pPr>
    </w:p>
    <w:p w14:paraId="51950606" w14:textId="78792CB6" w:rsidR="000F0B19" w:rsidRPr="000F0B19" w:rsidRDefault="000F0B19" w:rsidP="000F0B19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5"/>
          <w:szCs w:val="25"/>
        </w:rPr>
      </w:pPr>
      <w:r w:rsidRPr="000F0B19">
        <w:rPr>
          <w:rFonts w:ascii="Arial" w:hAnsi="Arial" w:cs="Arial"/>
          <w:b/>
          <w:sz w:val="25"/>
          <w:szCs w:val="25"/>
        </w:rPr>
        <w:t>Pronóstico de la prima anual pagada por concepto de Seguro de Depósitos</w:t>
      </w:r>
    </w:p>
    <w:p w14:paraId="59D575F3" w14:textId="2B22DF83" w:rsidR="00D84B99" w:rsidRDefault="00645580" w:rsidP="00D84B99">
      <w:pPr>
        <w:spacing w:before="240"/>
        <w:ind w:left="851"/>
        <w:jc w:val="both"/>
        <w:rPr>
          <w:rFonts w:ascii="Arial" w:hAnsi="Arial" w:cs="Arial"/>
        </w:rPr>
      </w:pPr>
      <w:r w:rsidRPr="00033C58">
        <w:rPr>
          <w:rFonts w:ascii="Arial" w:hAnsi="Arial" w:cs="Arial"/>
        </w:rPr>
        <w:t xml:space="preserve">La prima se </w:t>
      </w:r>
      <w:r w:rsidR="000F0B19">
        <w:rPr>
          <w:rFonts w:ascii="Arial" w:hAnsi="Arial" w:cs="Arial"/>
        </w:rPr>
        <w:t>proyectará</w:t>
      </w:r>
      <w:r w:rsidR="000F0B19" w:rsidRPr="00033C58">
        <w:rPr>
          <w:rFonts w:ascii="Arial" w:hAnsi="Arial" w:cs="Arial"/>
        </w:rPr>
        <w:t xml:space="preserve"> </w:t>
      </w:r>
      <w:r w:rsidRPr="00033C58">
        <w:rPr>
          <w:rFonts w:ascii="Arial" w:hAnsi="Arial" w:cs="Arial"/>
        </w:rPr>
        <w:t xml:space="preserve">usando el promedio de los últimos </w:t>
      </w:r>
      <w:r w:rsidR="005C2BBA" w:rsidRPr="008F5991">
        <w:rPr>
          <w:rFonts w:ascii="Arial" w:hAnsi="Arial" w:cs="Arial"/>
        </w:rPr>
        <w:t xml:space="preserve">diez </w:t>
      </w:r>
      <w:r w:rsidRPr="008F5991">
        <w:rPr>
          <w:rFonts w:ascii="Arial" w:hAnsi="Arial" w:cs="Arial"/>
        </w:rPr>
        <w:t>(</w:t>
      </w:r>
      <w:r w:rsidR="005C2BBA" w:rsidRPr="008F5991">
        <w:rPr>
          <w:rFonts w:ascii="Arial" w:hAnsi="Arial" w:cs="Arial"/>
        </w:rPr>
        <w:t>10</w:t>
      </w:r>
      <w:r w:rsidRPr="008F5991">
        <w:rPr>
          <w:rFonts w:ascii="Arial" w:hAnsi="Arial" w:cs="Arial"/>
        </w:rPr>
        <w:t>)</w:t>
      </w:r>
      <w:r w:rsidRPr="00033C58">
        <w:rPr>
          <w:rFonts w:ascii="Arial" w:hAnsi="Arial" w:cs="Arial"/>
        </w:rPr>
        <w:t xml:space="preserve"> años de la información histórica</w:t>
      </w:r>
      <w:r w:rsidR="00033C58">
        <w:rPr>
          <w:rFonts w:ascii="Arial" w:hAnsi="Arial" w:cs="Arial"/>
        </w:rPr>
        <w:t xml:space="preserve"> </w:t>
      </w:r>
      <w:r w:rsidRPr="00033C58">
        <w:rPr>
          <w:rFonts w:ascii="Arial" w:hAnsi="Arial" w:cs="Arial"/>
        </w:rPr>
        <w:t>disponible</w:t>
      </w:r>
      <w:r w:rsidR="00033C58">
        <w:rPr>
          <w:rFonts w:ascii="Arial" w:hAnsi="Arial" w:cs="Arial"/>
        </w:rPr>
        <w:t xml:space="preserve">. </w:t>
      </w:r>
      <w:r w:rsidR="00D84B99" w:rsidRPr="0056343A">
        <w:rPr>
          <w:rFonts w:ascii="Arial" w:hAnsi="Arial" w:cs="Arial"/>
        </w:rPr>
        <w:t xml:space="preserve">De acuerdo con </w:t>
      </w:r>
      <w:r w:rsidR="000F0B19">
        <w:rPr>
          <w:rFonts w:ascii="Arial" w:hAnsi="Arial" w:cs="Arial"/>
        </w:rPr>
        <w:t>este resultado</w:t>
      </w:r>
      <w:r w:rsidR="00D84B99" w:rsidRPr="0056343A">
        <w:rPr>
          <w:rFonts w:ascii="Arial" w:hAnsi="Arial" w:cs="Arial"/>
        </w:rPr>
        <w:t xml:space="preserve">, se </w:t>
      </w:r>
      <w:r w:rsidR="000F0B19">
        <w:rPr>
          <w:rFonts w:ascii="Arial" w:hAnsi="Arial" w:cs="Arial"/>
        </w:rPr>
        <w:t>proyecta</w:t>
      </w:r>
      <w:r w:rsidR="000F0B19" w:rsidRPr="0056343A">
        <w:rPr>
          <w:rFonts w:ascii="Arial" w:hAnsi="Arial" w:cs="Arial"/>
        </w:rPr>
        <w:t xml:space="preserve"> </w:t>
      </w:r>
      <w:r w:rsidR="00D84B99" w:rsidRPr="0056343A">
        <w:rPr>
          <w:rFonts w:ascii="Arial" w:hAnsi="Arial" w:cs="Arial"/>
        </w:rPr>
        <w:t xml:space="preserve">que la </w:t>
      </w:r>
      <w:r w:rsidR="00D84B99">
        <w:rPr>
          <w:rFonts w:ascii="Arial" w:hAnsi="Arial" w:cs="Arial"/>
        </w:rPr>
        <w:t xml:space="preserve">prima promedio anual del </w:t>
      </w:r>
      <w:r w:rsidR="00C17A14">
        <w:rPr>
          <w:rFonts w:ascii="Arial" w:hAnsi="Arial" w:cs="Arial"/>
        </w:rPr>
        <w:t xml:space="preserve">Seguro </w:t>
      </w:r>
      <w:r w:rsidR="00D84B99">
        <w:rPr>
          <w:rFonts w:ascii="Arial" w:hAnsi="Arial" w:cs="Arial"/>
        </w:rPr>
        <w:t xml:space="preserve">de </w:t>
      </w:r>
      <w:r w:rsidR="00C17A14">
        <w:rPr>
          <w:rFonts w:ascii="Arial" w:hAnsi="Arial" w:cs="Arial"/>
        </w:rPr>
        <w:t>Depósitos</w:t>
      </w:r>
      <w:r w:rsidR="00C17A14" w:rsidRPr="0056343A">
        <w:rPr>
          <w:rFonts w:ascii="Arial" w:hAnsi="Arial" w:cs="Arial"/>
        </w:rPr>
        <w:t xml:space="preserve"> </w:t>
      </w:r>
      <w:r w:rsidR="00D84B99" w:rsidRPr="0056343A">
        <w:rPr>
          <w:rFonts w:ascii="Arial" w:hAnsi="Arial" w:cs="Arial"/>
        </w:rPr>
        <w:t>para el</w:t>
      </w:r>
      <w:r w:rsidR="00D84B99">
        <w:rPr>
          <w:rFonts w:ascii="Arial" w:hAnsi="Arial" w:cs="Arial"/>
        </w:rPr>
        <w:t xml:space="preserve"> periodo 2020 - 2029</w:t>
      </w:r>
      <w:r w:rsidR="00D84B99" w:rsidRPr="0056343A">
        <w:rPr>
          <w:rFonts w:ascii="Arial" w:hAnsi="Arial" w:cs="Arial"/>
        </w:rPr>
        <w:t xml:space="preserve"> se</w:t>
      </w:r>
      <w:r w:rsidR="000F0B19">
        <w:rPr>
          <w:rFonts w:ascii="Arial" w:hAnsi="Arial" w:cs="Arial"/>
        </w:rPr>
        <w:t>rá</w:t>
      </w:r>
      <w:r w:rsidR="00D84B99" w:rsidRPr="0056343A">
        <w:rPr>
          <w:rFonts w:ascii="Arial" w:hAnsi="Arial" w:cs="Arial"/>
        </w:rPr>
        <w:t xml:space="preserve"> de </w:t>
      </w:r>
      <w:r w:rsidR="00D84B99">
        <w:rPr>
          <w:rFonts w:ascii="Arial" w:hAnsi="Arial" w:cs="Arial"/>
        </w:rPr>
        <w:t>0.29</w:t>
      </w:r>
      <w:r w:rsidR="00D84B99" w:rsidRPr="0056343A">
        <w:rPr>
          <w:rFonts w:ascii="Arial" w:hAnsi="Arial" w:cs="Arial"/>
        </w:rPr>
        <w:t>%</w:t>
      </w:r>
      <w:r w:rsidR="00D84B99">
        <w:rPr>
          <w:rFonts w:ascii="Arial" w:hAnsi="Arial" w:cs="Arial"/>
        </w:rPr>
        <w:t xml:space="preserve">. </w:t>
      </w:r>
    </w:p>
    <w:p w14:paraId="52D27DAE" w14:textId="6D7A8B9B" w:rsidR="00033C58" w:rsidRDefault="00033C58" w:rsidP="008E0346">
      <w:pPr>
        <w:ind w:left="851"/>
        <w:jc w:val="both"/>
        <w:rPr>
          <w:rFonts w:ascii="Arial" w:hAnsi="Arial" w:cs="Arial"/>
        </w:rPr>
      </w:pPr>
    </w:p>
    <w:p w14:paraId="114AA489" w14:textId="77777777" w:rsidR="00D84B99" w:rsidRDefault="00D84B99" w:rsidP="008E0346">
      <w:pPr>
        <w:ind w:left="851"/>
        <w:jc w:val="both"/>
        <w:rPr>
          <w:rFonts w:ascii="Arial" w:hAnsi="Arial" w:cs="Arial"/>
        </w:rPr>
      </w:pPr>
    </w:p>
    <w:p w14:paraId="2C9E4D5D" w14:textId="4574D342" w:rsidR="00033C58" w:rsidRDefault="000F0B19" w:rsidP="008E0346">
      <w:pPr>
        <w:numPr>
          <w:ilvl w:val="1"/>
          <w:numId w:val="2"/>
        </w:numPr>
        <w:spacing w:after="240"/>
        <w:jc w:val="both"/>
        <w:rPr>
          <w:rFonts w:ascii="Arial" w:hAnsi="Arial" w:cs="Arial"/>
          <w:b/>
          <w:sz w:val="25"/>
          <w:szCs w:val="25"/>
          <w:lang w:val="es-CO" w:eastAsia="en-US"/>
        </w:rPr>
      </w:pPr>
      <w:r w:rsidRPr="009A30D9">
        <w:rPr>
          <w:rFonts w:ascii="Arial" w:hAnsi="Arial" w:cs="Arial"/>
          <w:b/>
        </w:rPr>
        <w:t>Pronóstico</w:t>
      </w:r>
      <w:r w:rsidRPr="009A30D9">
        <w:rPr>
          <w:rFonts w:ascii="Arial" w:hAnsi="Arial" w:cs="Arial"/>
          <w:b/>
          <w:lang w:val="es-CO" w:eastAsia="en-US"/>
        </w:rPr>
        <w:t xml:space="preserve"> de</w:t>
      </w:r>
      <w:r>
        <w:rPr>
          <w:rFonts w:ascii="Arial" w:hAnsi="Arial" w:cs="Arial"/>
          <w:b/>
          <w:lang w:val="es-CO" w:eastAsia="en-US"/>
        </w:rPr>
        <w:t xml:space="preserve"> la tasa de </w:t>
      </w:r>
      <w:r w:rsidRPr="009A30D9">
        <w:rPr>
          <w:rFonts w:ascii="Arial" w:hAnsi="Arial" w:cs="Arial"/>
          <w:b/>
          <w:lang w:val="es-CO" w:eastAsia="en-US"/>
        </w:rPr>
        <w:t>retorno anual de la reserva</w:t>
      </w:r>
      <w:r>
        <w:rPr>
          <w:rFonts w:ascii="Arial" w:hAnsi="Arial" w:cs="Arial"/>
          <w:b/>
          <w:lang w:val="es-CO" w:eastAsia="en-US"/>
        </w:rPr>
        <w:t xml:space="preserve"> de Seguro de Depósitos</w:t>
      </w:r>
    </w:p>
    <w:p w14:paraId="41373A23" w14:textId="41BA823B" w:rsidR="00645580" w:rsidRDefault="000F0B19" w:rsidP="008E0346">
      <w:pPr>
        <w:spacing w:before="24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El retorno anual de</w:t>
      </w:r>
      <w:r w:rsidRPr="00131FBC">
        <w:rPr>
          <w:rFonts w:ascii="Arial" w:hAnsi="Arial" w:cs="Arial"/>
        </w:rPr>
        <w:t xml:space="preserve"> </w:t>
      </w:r>
      <w:r w:rsidRPr="000F0B19">
        <w:rPr>
          <w:rFonts w:ascii="Arial" w:hAnsi="Arial" w:cs="Arial"/>
        </w:rPr>
        <w:t>la reserva de Seguro de Depósitos</w:t>
      </w:r>
      <w:r>
        <w:rPr>
          <w:rFonts w:ascii="Arial" w:hAnsi="Arial" w:cs="Arial"/>
        </w:rPr>
        <w:t xml:space="preserve"> se proyecta</w:t>
      </w:r>
      <w:r w:rsidRPr="00131FBC">
        <w:rPr>
          <w:rFonts w:ascii="Arial" w:hAnsi="Arial" w:cs="Arial"/>
        </w:rPr>
        <w:t xml:space="preserve"> utilizando la tasa de interna de retorno de los activos y asumiendo paridad de tasas de cambio.</w:t>
      </w:r>
      <w:r w:rsidRPr="00D17356">
        <w:rPr>
          <w:rFonts w:ascii="Arial" w:hAnsi="Arial" w:cs="Arial"/>
        </w:rPr>
        <w:t xml:space="preserve"> </w:t>
      </w:r>
      <w:r w:rsidR="00D84B99" w:rsidRPr="0056343A">
        <w:rPr>
          <w:rFonts w:ascii="Arial" w:hAnsi="Arial" w:cs="Arial"/>
        </w:rPr>
        <w:t xml:space="preserve">De acuerdo </w:t>
      </w:r>
      <w:r w:rsidR="00856CC1">
        <w:rPr>
          <w:rFonts w:ascii="Arial" w:hAnsi="Arial" w:cs="Arial"/>
        </w:rPr>
        <w:t>con este resultado</w:t>
      </w:r>
      <w:r w:rsidR="00D84B99" w:rsidRPr="0056343A">
        <w:rPr>
          <w:rFonts w:ascii="Arial" w:hAnsi="Arial" w:cs="Arial"/>
        </w:rPr>
        <w:t xml:space="preserve">, se </w:t>
      </w:r>
      <w:r w:rsidR="00856CC1">
        <w:rPr>
          <w:rFonts w:ascii="Arial" w:hAnsi="Arial" w:cs="Arial"/>
        </w:rPr>
        <w:t>proyecta</w:t>
      </w:r>
      <w:r w:rsidR="00856CC1" w:rsidRPr="0056343A">
        <w:rPr>
          <w:rFonts w:ascii="Arial" w:hAnsi="Arial" w:cs="Arial"/>
        </w:rPr>
        <w:t xml:space="preserve"> </w:t>
      </w:r>
      <w:r w:rsidR="00D84B99" w:rsidRPr="0056343A">
        <w:rPr>
          <w:rFonts w:ascii="Arial" w:hAnsi="Arial" w:cs="Arial"/>
        </w:rPr>
        <w:t xml:space="preserve">que la </w:t>
      </w:r>
      <w:r w:rsidR="00D84B99">
        <w:rPr>
          <w:rFonts w:ascii="Arial" w:hAnsi="Arial" w:cs="Arial"/>
        </w:rPr>
        <w:t xml:space="preserve">tasa de retorno </w:t>
      </w:r>
      <w:r w:rsidR="00D84B99">
        <w:rPr>
          <w:rFonts w:ascii="Arial" w:hAnsi="Arial" w:cs="Arial"/>
        </w:rPr>
        <w:lastRenderedPageBreak/>
        <w:t xml:space="preserve">anual de la reserva del </w:t>
      </w:r>
      <w:r w:rsidR="00C17A14">
        <w:rPr>
          <w:rFonts w:ascii="Arial" w:hAnsi="Arial" w:cs="Arial"/>
        </w:rPr>
        <w:t xml:space="preserve">Seguro </w:t>
      </w:r>
      <w:r w:rsidR="00D84B99">
        <w:rPr>
          <w:rFonts w:ascii="Arial" w:hAnsi="Arial" w:cs="Arial"/>
        </w:rPr>
        <w:t xml:space="preserve">de </w:t>
      </w:r>
      <w:r w:rsidR="00C17A14">
        <w:rPr>
          <w:rFonts w:ascii="Arial" w:hAnsi="Arial" w:cs="Arial"/>
        </w:rPr>
        <w:t>Depósitos</w:t>
      </w:r>
      <w:r w:rsidR="00C17A14" w:rsidRPr="0056343A">
        <w:rPr>
          <w:rFonts w:ascii="Arial" w:hAnsi="Arial" w:cs="Arial"/>
        </w:rPr>
        <w:t xml:space="preserve"> </w:t>
      </w:r>
      <w:r w:rsidR="00D84B99" w:rsidRPr="0056343A">
        <w:rPr>
          <w:rFonts w:ascii="Arial" w:hAnsi="Arial" w:cs="Arial"/>
        </w:rPr>
        <w:t>para el</w:t>
      </w:r>
      <w:r w:rsidR="00D84B99">
        <w:rPr>
          <w:rFonts w:ascii="Arial" w:hAnsi="Arial" w:cs="Arial"/>
        </w:rPr>
        <w:t xml:space="preserve"> periodo 2020 - 2029</w:t>
      </w:r>
      <w:r w:rsidR="00D84B99" w:rsidRPr="0056343A">
        <w:rPr>
          <w:rFonts w:ascii="Arial" w:hAnsi="Arial" w:cs="Arial"/>
        </w:rPr>
        <w:t xml:space="preserve"> </w:t>
      </w:r>
      <w:r w:rsidR="00856CC1" w:rsidRPr="0056343A">
        <w:rPr>
          <w:rFonts w:ascii="Arial" w:hAnsi="Arial" w:cs="Arial"/>
        </w:rPr>
        <w:t>se</w:t>
      </w:r>
      <w:r w:rsidR="00856CC1">
        <w:rPr>
          <w:rFonts w:ascii="Arial" w:hAnsi="Arial" w:cs="Arial"/>
        </w:rPr>
        <w:t>rá</w:t>
      </w:r>
      <w:r w:rsidR="00856CC1" w:rsidRPr="0056343A">
        <w:rPr>
          <w:rFonts w:ascii="Arial" w:hAnsi="Arial" w:cs="Arial"/>
        </w:rPr>
        <w:t xml:space="preserve"> </w:t>
      </w:r>
      <w:r w:rsidR="00D84B99" w:rsidRPr="0056343A">
        <w:rPr>
          <w:rFonts w:ascii="Arial" w:hAnsi="Arial" w:cs="Arial"/>
        </w:rPr>
        <w:t xml:space="preserve">de </w:t>
      </w:r>
      <w:r w:rsidR="005C2BBA" w:rsidRPr="008F5991">
        <w:rPr>
          <w:rFonts w:ascii="Arial" w:hAnsi="Arial" w:cs="Arial"/>
        </w:rPr>
        <w:t>1.46</w:t>
      </w:r>
      <w:r w:rsidR="00D84B99" w:rsidRPr="008F5991">
        <w:rPr>
          <w:rFonts w:ascii="Arial" w:hAnsi="Arial" w:cs="Arial"/>
        </w:rPr>
        <w:t>%.</w:t>
      </w:r>
      <w:r w:rsidR="00D84B99">
        <w:rPr>
          <w:rFonts w:ascii="Arial" w:hAnsi="Arial" w:cs="Arial"/>
        </w:rPr>
        <w:t xml:space="preserve"> </w:t>
      </w:r>
    </w:p>
    <w:p w14:paraId="7EBE15A5" w14:textId="77777777" w:rsidR="00A209A4" w:rsidRPr="001F790A" w:rsidRDefault="00A209A4" w:rsidP="008E0346">
      <w:pPr>
        <w:jc w:val="both"/>
        <w:rPr>
          <w:rFonts w:ascii="Arial" w:hAnsi="Arial" w:cs="Arial"/>
        </w:rPr>
      </w:pPr>
    </w:p>
    <w:p w14:paraId="15C364F3" w14:textId="77777777" w:rsidR="00476715" w:rsidRDefault="00476715" w:rsidP="008E0346">
      <w:pPr>
        <w:jc w:val="both"/>
        <w:rPr>
          <w:rFonts w:ascii="Arial" w:hAnsi="Arial" w:cs="Arial"/>
        </w:rPr>
      </w:pPr>
    </w:p>
    <w:p w14:paraId="0A3E8D89" w14:textId="43463161" w:rsidR="003E6A2D" w:rsidRPr="008802DD" w:rsidRDefault="003E6A2D" w:rsidP="008E0346">
      <w:pPr>
        <w:numPr>
          <w:ilvl w:val="0"/>
          <w:numId w:val="2"/>
        </w:numPr>
        <w:rPr>
          <w:rFonts w:ascii="Arial" w:hAnsi="Arial" w:cs="Arial"/>
          <w:b/>
          <w:sz w:val="25"/>
          <w:szCs w:val="25"/>
          <w:lang w:val="es-CO" w:eastAsia="en-US"/>
        </w:rPr>
      </w:pPr>
      <w:r>
        <w:rPr>
          <w:rFonts w:ascii="Arial" w:hAnsi="Arial" w:cs="Arial"/>
          <w:b/>
          <w:sz w:val="25"/>
          <w:szCs w:val="25"/>
          <w:lang w:val="es-CO" w:eastAsia="en-US"/>
        </w:rPr>
        <w:t>CÁLCULO DEL COEFICIENTE</w:t>
      </w:r>
      <w:r w:rsidR="001C06EF">
        <w:rPr>
          <w:rFonts w:ascii="Arial" w:hAnsi="Arial" w:cs="Arial"/>
          <w:b/>
          <w:sz w:val="25"/>
          <w:szCs w:val="25"/>
          <w:lang w:val="es-CO" w:eastAsia="en-US"/>
        </w:rPr>
        <w:t xml:space="preserve"> DE AJUSTE</w:t>
      </w:r>
      <w:r w:rsidR="00C17A14">
        <w:rPr>
          <w:rFonts w:ascii="Arial" w:hAnsi="Arial" w:cs="Arial"/>
          <w:b/>
          <w:sz w:val="25"/>
          <w:szCs w:val="25"/>
          <w:lang w:val="es-CO" w:eastAsia="en-US"/>
        </w:rPr>
        <w:t xml:space="preserve"> </w:t>
      </w:r>
      <w:r w:rsidR="00C17A14" w:rsidRPr="00C17A14">
        <w:rPr>
          <w:rFonts w:ascii="Arial" w:hAnsi="Arial" w:cs="Arial"/>
          <w:b/>
          <w:sz w:val="25"/>
          <w:szCs w:val="25"/>
          <w:lang w:val="es-CO" w:eastAsia="en-US"/>
        </w:rPr>
        <w:t xml:space="preserve">PARA EL AÑO </w:t>
      </w:r>
      <w:r w:rsidR="008F5991" w:rsidRPr="00C17A14">
        <w:rPr>
          <w:rFonts w:ascii="Arial" w:hAnsi="Arial" w:cs="Arial"/>
          <w:b/>
          <w:sz w:val="25"/>
          <w:szCs w:val="25"/>
          <w:lang w:val="es-CO" w:eastAsia="en-US"/>
        </w:rPr>
        <w:t>202</w:t>
      </w:r>
      <w:r w:rsidR="008F5991">
        <w:rPr>
          <w:rFonts w:ascii="Arial" w:hAnsi="Arial" w:cs="Arial"/>
          <w:b/>
          <w:sz w:val="25"/>
          <w:szCs w:val="25"/>
          <w:lang w:val="es-CO" w:eastAsia="en-US"/>
        </w:rPr>
        <w:t>1</w:t>
      </w:r>
    </w:p>
    <w:p w14:paraId="040477AD" w14:textId="77777777" w:rsidR="00645580" w:rsidRPr="001F790A" w:rsidRDefault="00645580" w:rsidP="008E0346">
      <w:pPr>
        <w:jc w:val="both"/>
        <w:rPr>
          <w:rFonts w:ascii="Arial" w:hAnsi="Arial" w:cs="Arial"/>
        </w:rPr>
      </w:pPr>
    </w:p>
    <w:p w14:paraId="750EC7C9" w14:textId="76E13A44" w:rsidR="00D405CC" w:rsidRPr="000B3B4C" w:rsidRDefault="00E55F2B" w:rsidP="008E0346">
      <w:pPr>
        <w:spacing w:before="24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405CC">
        <w:rPr>
          <w:rFonts w:ascii="Arial" w:hAnsi="Arial" w:cs="Arial"/>
        </w:rPr>
        <w:t xml:space="preserve">l cálculo del coeficiente </w:t>
      </w:r>
      <w:r>
        <w:rPr>
          <w:rFonts w:ascii="Arial" w:hAnsi="Arial" w:cs="Arial"/>
        </w:rPr>
        <w:t xml:space="preserve">de ajuste </w:t>
      </w:r>
      <w:r w:rsidR="00D405CC">
        <w:rPr>
          <w:rFonts w:ascii="Arial" w:hAnsi="Arial" w:cs="Arial"/>
        </w:rPr>
        <w:t xml:space="preserve">supone que los parámetros estimados en la sección dos de la presente circular </w:t>
      </w:r>
      <w:r w:rsidR="00D405CC" w:rsidRPr="00131FBC">
        <w:rPr>
          <w:rFonts w:ascii="Arial" w:hAnsi="Arial" w:cs="Arial"/>
        </w:rPr>
        <w:t xml:space="preserve">permanecen constantes en el horizonte de </w:t>
      </w:r>
      <w:r w:rsidR="005C2BBA" w:rsidRPr="008F5991">
        <w:rPr>
          <w:rFonts w:ascii="Arial" w:hAnsi="Arial" w:cs="Arial"/>
        </w:rPr>
        <w:t>9</w:t>
      </w:r>
      <w:r w:rsidR="00D405CC" w:rsidRPr="00131FBC">
        <w:rPr>
          <w:rFonts w:ascii="Arial" w:hAnsi="Arial" w:cs="Arial"/>
        </w:rPr>
        <w:t xml:space="preserve"> años.</w:t>
      </w:r>
    </w:p>
    <w:p w14:paraId="420FD943" w14:textId="77777777" w:rsidR="00D405CC" w:rsidRDefault="00D405CC" w:rsidP="008E0346">
      <w:pPr>
        <w:ind w:left="426"/>
        <w:jc w:val="both"/>
        <w:rPr>
          <w:rFonts w:ascii="Arial" w:hAnsi="Arial" w:cs="Arial"/>
          <w:lang w:val="es-CO"/>
        </w:rPr>
      </w:pPr>
    </w:p>
    <w:p w14:paraId="3A6FE092" w14:textId="24ECFB9D" w:rsidR="002B5226" w:rsidRPr="00DA5767" w:rsidRDefault="00C17A14" w:rsidP="008E0346">
      <w:pPr>
        <w:ind w:left="426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</w:t>
      </w:r>
      <w:r w:rsidR="002B5226" w:rsidRPr="00545CEB">
        <w:rPr>
          <w:rFonts w:ascii="Arial" w:hAnsi="Arial" w:cs="Arial"/>
          <w:lang w:val="es-CO"/>
        </w:rPr>
        <w:t xml:space="preserve">e acuerdo con </w:t>
      </w:r>
      <w:r w:rsidR="000D33E7">
        <w:rPr>
          <w:rFonts w:ascii="Arial" w:hAnsi="Arial" w:cs="Arial"/>
          <w:lang w:val="es-CO"/>
        </w:rPr>
        <w:t xml:space="preserve">los parámetros </w:t>
      </w:r>
      <w:r w:rsidR="00E55F2B">
        <w:rPr>
          <w:rFonts w:ascii="Arial" w:hAnsi="Arial" w:cs="Arial"/>
          <w:lang w:val="es-CO"/>
        </w:rPr>
        <w:t>proyectado</w:t>
      </w:r>
      <w:r w:rsidR="000D33E7">
        <w:rPr>
          <w:rFonts w:ascii="Arial" w:hAnsi="Arial" w:cs="Arial"/>
          <w:lang w:val="es-CO"/>
        </w:rPr>
        <w:t>s</w:t>
      </w:r>
      <w:r w:rsidR="008B1865" w:rsidRPr="00545CEB">
        <w:rPr>
          <w:rFonts w:ascii="Arial" w:hAnsi="Arial" w:cs="Arial"/>
          <w:lang w:val="es-CO"/>
        </w:rPr>
        <w:t xml:space="preserve">, </w:t>
      </w:r>
      <w:r>
        <w:rPr>
          <w:rFonts w:ascii="Arial" w:hAnsi="Arial" w:cs="Arial"/>
          <w:lang w:val="es-CO"/>
        </w:rPr>
        <w:t xml:space="preserve">se informa a los destinatarios de esta circular que </w:t>
      </w:r>
      <w:r w:rsidR="002B5226" w:rsidRPr="00545CEB">
        <w:rPr>
          <w:rFonts w:ascii="Arial" w:hAnsi="Arial" w:cs="Arial"/>
          <w:lang w:val="es-CO"/>
        </w:rPr>
        <w:t xml:space="preserve">el </w:t>
      </w:r>
      <w:r w:rsidR="002B5226" w:rsidRPr="00DA5767">
        <w:rPr>
          <w:rFonts w:ascii="Arial" w:hAnsi="Arial" w:cs="Arial"/>
          <w:lang w:val="es-CO"/>
        </w:rPr>
        <w:t>coeficiente</w:t>
      </w:r>
      <w:r w:rsidR="000D33E7">
        <w:rPr>
          <w:rFonts w:ascii="Arial" w:hAnsi="Arial" w:cs="Arial"/>
          <w:lang w:val="es-CO"/>
        </w:rPr>
        <w:t xml:space="preserve"> de ajuste</w:t>
      </w:r>
      <w:r w:rsidR="002B5226" w:rsidRPr="00DA5767">
        <w:rPr>
          <w:rFonts w:ascii="Arial" w:hAnsi="Arial" w:cs="Arial"/>
          <w:lang w:val="es-CO"/>
        </w:rPr>
        <w:t xml:space="preserve"> </w:t>
      </w:r>
      <w:r w:rsidR="00E55F2B">
        <w:rPr>
          <w:rFonts w:ascii="Arial" w:hAnsi="Arial" w:cs="Arial"/>
          <w:lang w:val="es-CO"/>
        </w:rPr>
        <w:t>para</w:t>
      </w:r>
      <w:r w:rsidR="00E55F2B" w:rsidRPr="00DA5767">
        <w:rPr>
          <w:rFonts w:ascii="Arial" w:hAnsi="Arial" w:cs="Arial"/>
          <w:lang w:val="es-CO"/>
        </w:rPr>
        <w:t xml:space="preserve"> </w:t>
      </w:r>
      <w:r w:rsidR="00D405CC" w:rsidRPr="00DA5767">
        <w:rPr>
          <w:rFonts w:ascii="Arial" w:hAnsi="Arial" w:cs="Arial"/>
          <w:lang w:val="es-CO"/>
        </w:rPr>
        <w:t>el año 202</w:t>
      </w:r>
      <w:r w:rsidR="005C2BBA">
        <w:rPr>
          <w:rFonts w:ascii="Arial" w:hAnsi="Arial" w:cs="Arial"/>
          <w:lang w:val="es-CO"/>
        </w:rPr>
        <w:t>1</w:t>
      </w:r>
      <w:r w:rsidR="00251C64">
        <w:rPr>
          <w:rFonts w:ascii="Arial" w:hAnsi="Arial" w:cs="Arial"/>
          <w:lang w:val="es-CO"/>
        </w:rPr>
        <w:t>,</w:t>
      </w:r>
      <w:r w:rsidR="00D405CC" w:rsidRPr="00DA5767">
        <w:rPr>
          <w:rFonts w:ascii="Arial" w:hAnsi="Arial" w:cs="Arial"/>
          <w:lang w:val="es-CO"/>
        </w:rPr>
        <w:t xml:space="preserve"> </w:t>
      </w:r>
      <w:r w:rsidR="002B5226" w:rsidRPr="00DA5767">
        <w:rPr>
          <w:rFonts w:ascii="Arial" w:hAnsi="Arial" w:cs="Arial"/>
          <w:lang w:val="es-CO"/>
        </w:rPr>
        <w:t xml:space="preserve">para cumplir con </w:t>
      </w:r>
      <w:r w:rsidR="00545CEB" w:rsidRPr="00DA5767">
        <w:rPr>
          <w:rFonts w:ascii="Arial" w:hAnsi="Arial" w:cs="Arial"/>
          <w:lang w:val="es-CO"/>
        </w:rPr>
        <w:t>el valor objetivo de la reserva del Seguro de Depósitos</w:t>
      </w:r>
      <w:r w:rsidR="00251C64">
        <w:rPr>
          <w:rFonts w:ascii="Arial" w:hAnsi="Arial" w:cs="Arial"/>
          <w:lang w:val="es-CO"/>
        </w:rPr>
        <w:t>,</w:t>
      </w:r>
      <w:r w:rsidR="00545CEB" w:rsidRPr="00DA5767">
        <w:rPr>
          <w:rStyle w:val="Refdenotaalpie"/>
          <w:rFonts w:ascii="Arial" w:hAnsi="Arial" w:cs="Arial"/>
          <w:color w:val="000000"/>
        </w:rPr>
        <w:footnoteReference w:id="1"/>
      </w:r>
      <w:r w:rsidR="00251C64">
        <w:rPr>
          <w:rFonts w:ascii="Arial" w:hAnsi="Arial" w:cs="Arial"/>
          <w:lang w:val="es-CO"/>
        </w:rPr>
        <w:t xml:space="preserve"> es cero (0)</w:t>
      </w:r>
      <w:r w:rsidR="00545CEB" w:rsidRPr="00DA5767">
        <w:rPr>
          <w:rFonts w:ascii="Arial" w:hAnsi="Arial" w:cs="Arial"/>
          <w:color w:val="000000"/>
        </w:rPr>
        <w:t>.</w:t>
      </w:r>
    </w:p>
    <w:p w14:paraId="02C2862A" w14:textId="77777777" w:rsidR="008008A1" w:rsidRPr="001F790A" w:rsidRDefault="008008A1" w:rsidP="008E0346">
      <w:pPr>
        <w:rPr>
          <w:rFonts w:ascii="Arial" w:hAnsi="Arial" w:cs="Arial"/>
        </w:rPr>
      </w:pPr>
    </w:p>
    <w:p w14:paraId="7BA1AA55" w14:textId="77777777" w:rsidR="008008A1" w:rsidRPr="001F790A" w:rsidRDefault="008008A1" w:rsidP="008E0346">
      <w:pPr>
        <w:rPr>
          <w:rFonts w:ascii="Arial" w:hAnsi="Arial" w:cs="Arial"/>
        </w:rPr>
      </w:pPr>
    </w:p>
    <w:p w14:paraId="22642BB6" w14:textId="7B0C2F0E" w:rsidR="001B7FE5" w:rsidRPr="008802DD" w:rsidRDefault="001B7FE5" w:rsidP="008E0346">
      <w:pPr>
        <w:jc w:val="both"/>
        <w:rPr>
          <w:rFonts w:ascii="Arial" w:hAnsi="Arial" w:cs="Arial"/>
          <w:sz w:val="25"/>
          <w:szCs w:val="25"/>
        </w:rPr>
      </w:pPr>
      <w:r w:rsidRPr="008802DD">
        <w:rPr>
          <w:rFonts w:ascii="Arial" w:hAnsi="Arial" w:cs="Arial"/>
          <w:sz w:val="25"/>
          <w:szCs w:val="25"/>
        </w:rPr>
        <w:t>Esta Circular rige a partir de su expedición</w:t>
      </w:r>
      <w:r>
        <w:rPr>
          <w:rFonts w:ascii="Arial" w:hAnsi="Arial" w:cs="Arial"/>
          <w:sz w:val="25"/>
          <w:szCs w:val="25"/>
        </w:rPr>
        <w:t>.</w:t>
      </w:r>
    </w:p>
    <w:p w14:paraId="77EDB42A" w14:textId="77777777" w:rsidR="001B7FE5" w:rsidRPr="008802DD" w:rsidRDefault="001B7FE5" w:rsidP="008E0346">
      <w:pPr>
        <w:jc w:val="both"/>
        <w:rPr>
          <w:rFonts w:ascii="Arial" w:hAnsi="Arial" w:cs="Arial"/>
          <w:sz w:val="25"/>
          <w:szCs w:val="25"/>
        </w:rPr>
      </w:pPr>
    </w:p>
    <w:p w14:paraId="7525A14C" w14:textId="77777777" w:rsidR="001B7FE5" w:rsidRPr="008802DD" w:rsidRDefault="001B7FE5" w:rsidP="008E0346">
      <w:pPr>
        <w:jc w:val="both"/>
        <w:rPr>
          <w:rFonts w:ascii="Arial" w:hAnsi="Arial" w:cs="Arial"/>
          <w:sz w:val="25"/>
          <w:szCs w:val="25"/>
        </w:rPr>
      </w:pPr>
      <w:r w:rsidRPr="008802DD">
        <w:rPr>
          <w:rFonts w:ascii="Arial" w:hAnsi="Arial" w:cs="Arial"/>
          <w:sz w:val="25"/>
          <w:szCs w:val="25"/>
        </w:rPr>
        <w:t>Cordialmente,</w:t>
      </w:r>
    </w:p>
    <w:p w14:paraId="3FA9CC22" w14:textId="77777777" w:rsidR="001B7FE5" w:rsidRPr="008802DD" w:rsidRDefault="001B7FE5" w:rsidP="008E0346">
      <w:pPr>
        <w:jc w:val="both"/>
        <w:rPr>
          <w:rFonts w:ascii="Arial" w:hAnsi="Arial" w:cs="Arial"/>
          <w:sz w:val="25"/>
          <w:szCs w:val="25"/>
        </w:rPr>
      </w:pPr>
    </w:p>
    <w:p w14:paraId="70090100" w14:textId="77777777" w:rsidR="001B7FE5" w:rsidRPr="008802DD" w:rsidRDefault="001B7FE5" w:rsidP="008E0346">
      <w:pPr>
        <w:jc w:val="both"/>
        <w:rPr>
          <w:rFonts w:ascii="Arial" w:hAnsi="Arial" w:cs="Arial"/>
          <w:sz w:val="25"/>
          <w:szCs w:val="25"/>
        </w:rPr>
      </w:pPr>
    </w:p>
    <w:p w14:paraId="2478563C" w14:textId="77777777" w:rsidR="001B7FE5" w:rsidRPr="008802DD" w:rsidRDefault="001B7FE5" w:rsidP="008E0346">
      <w:pPr>
        <w:jc w:val="both"/>
        <w:rPr>
          <w:rFonts w:ascii="Arial" w:hAnsi="Arial" w:cs="Arial"/>
          <w:sz w:val="25"/>
          <w:szCs w:val="25"/>
        </w:rPr>
      </w:pPr>
    </w:p>
    <w:p w14:paraId="379111BE" w14:textId="42974EE5" w:rsidR="001B7FE5" w:rsidRPr="008802DD" w:rsidRDefault="005C2BBA" w:rsidP="008E0346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ANDRÉS VALENCIA PINZÓN</w:t>
      </w:r>
      <w:r w:rsidR="001B7FE5" w:rsidRPr="008802DD">
        <w:rPr>
          <w:rFonts w:ascii="Arial" w:hAnsi="Arial" w:cs="Arial"/>
          <w:b/>
          <w:sz w:val="25"/>
          <w:szCs w:val="25"/>
        </w:rPr>
        <w:tab/>
      </w:r>
      <w:r w:rsidR="00D80A06">
        <w:rPr>
          <w:rFonts w:ascii="Arial" w:hAnsi="Arial" w:cs="Arial"/>
          <w:b/>
          <w:sz w:val="25"/>
          <w:szCs w:val="25"/>
        </w:rPr>
        <w:tab/>
      </w:r>
      <w:r w:rsidR="00D80A06">
        <w:rPr>
          <w:rFonts w:ascii="Arial" w:hAnsi="Arial" w:cs="Arial"/>
          <w:b/>
          <w:sz w:val="25"/>
          <w:szCs w:val="25"/>
        </w:rPr>
        <w:tab/>
        <w:t xml:space="preserve">   </w:t>
      </w:r>
      <w:r>
        <w:rPr>
          <w:rFonts w:ascii="Arial" w:hAnsi="Arial" w:cs="Arial"/>
          <w:b/>
          <w:sz w:val="25"/>
          <w:szCs w:val="25"/>
        </w:rPr>
        <w:t>DINA MARÍA OLMOS</w:t>
      </w:r>
      <w:r w:rsidR="008F5991">
        <w:rPr>
          <w:rFonts w:ascii="Arial" w:hAnsi="Arial" w:cs="Arial"/>
          <w:b/>
          <w:sz w:val="25"/>
          <w:szCs w:val="25"/>
        </w:rPr>
        <w:t xml:space="preserve"> APONTE</w:t>
      </w:r>
    </w:p>
    <w:p w14:paraId="5362669C" w14:textId="6F7E8B8D" w:rsidR="001B7FE5" w:rsidRPr="008802DD" w:rsidRDefault="00D426FD" w:rsidP="00D426FD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</w:t>
      </w:r>
      <w:r w:rsidR="001B7FE5" w:rsidRPr="008802DD">
        <w:rPr>
          <w:rFonts w:ascii="Arial" w:hAnsi="Arial" w:cs="Arial"/>
          <w:sz w:val="25"/>
          <w:szCs w:val="25"/>
        </w:rPr>
        <w:t xml:space="preserve">Director </w:t>
      </w:r>
      <w:r w:rsidR="001B7FE5" w:rsidRPr="008802DD">
        <w:rPr>
          <w:rFonts w:ascii="Arial" w:hAnsi="Arial" w:cs="Arial"/>
          <w:sz w:val="25"/>
          <w:szCs w:val="25"/>
        </w:rPr>
        <w:tab/>
      </w:r>
      <w:r w:rsidR="001B7FE5" w:rsidRPr="008802DD">
        <w:rPr>
          <w:rFonts w:ascii="Arial" w:hAnsi="Arial" w:cs="Arial"/>
          <w:sz w:val="25"/>
          <w:szCs w:val="25"/>
        </w:rPr>
        <w:tab/>
      </w:r>
      <w:r w:rsidR="001B7FE5" w:rsidRPr="008802DD">
        <w:rPr>
          <w:rFonts w:ascii="Arial" w:hAnsi="Arial" w:cs="Arial"/>
          <w:sz w:val="25"/>
          <w:szCs w:val="25"/>
        </w:rPr>
        <w:tab/>
      </w:r>
      <w:r w:rsidR="001B7FE5" w:rsidRPr="008802DD">
        <w:rPr>
          <w:rFonts w:ascii="Arial" w:hAnsi="Arial" w:cs="Arial"/>
          <w:sz w:val="25"/>
          <w:szCs w:val="25"/>
        </w:rPr>
        <w:tab/>
      </w:r>
      <w:r w:rsidR="005852B4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                 </w:t>
      </w:r>
      <w:r w:rsidR="001B7FE5" w:rsidRPr="008802DD">
        <w:rPr>
          <w:rFonts w:ascii="Arial" w:hAnsi="Arial" w:cs="Arial"/>
          <w:sz w:val="25"/>
          <w:szCs w:val="25"/>
        </w:rPr>
        <w:t xml:space="preserve">Subdirectora Corporativa </w:t>
      </w:r>
    </w:p>
    <w:p w14:paraId="58C7C6B6" w14:textId="77777777" w:rsidR="005F44F9" w:rsidRDefault="005F44F9" w:rsidP="008E034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F44F9" w:rsidSect="00846EB3">
      <w:headerReference w:type="default" r:id="rId12"/>
      <w:footerReference w:type="default" r:id="rId13"/>
      <w:pgSz w:w="12242" w:h="15842" w:code="1"/>
      <w:pgMar w:top="1531" w:right="1418" w:bottom="1418" w:left="1701" w:header="1134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1AC72" w14:textId="77777777" w:rsidR="003B4DF6" w:rsidRDefault="003B4DF6">
      <w:r>
        <w:separator/>
      </w:r>
    </w:p>
  </w:endnote>
  <w:endnote w:type="continuationSeparator" w:id="0">
    <w:p w14:paraId="7F58AC5C" w14:textId="77777777" w:rsidR="003B4DF6" w:rsidRDefault="003B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63651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30D9387" w14:textId="03177560" w:rsidR="00976D7D" w:rsidRPr="00976D7D" w:rsidRDefault="00976D7D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976D7D">
          <w:rPr>
            <w:rFonts w:ascii="Arial" w:hAnsi="Arial" w:cs="Arial"/>
            <w:sz w:val="18"/>
            <w:szCs w:val="18"/>
          </w:rPr>
          <w:fldChar w:fldCharType="begin"/>
        </w:r>
        <w:r w:rsidRPr="00976D7D">
          <w:rPr>
            <w:rFonts w:ascii="Arial" w:hAnsi="Arial" w:cs="Arial"/>
            <w:sz w:val="18"/>
            <w:szCs w:val="18"/>
          </w:rPr>
          <w:instrText>PAGE   \* MERGEFORMAT</w:instrText>
        </w:r>
        <w:r w:rsidRPr="00976D7D">
          <w:rPr>
            <w:rFonts w:ascii="Arial" w:hAnsi="Arial" w:cs="Arial"/>
            <w:sz w:val="18"/>
            <w:szCs w:val="18"/>
          </w:rPr>
          <w:fldChar w:fldCharType="separate"/>
        </w:r>
        <w:r w:rsidRPr="00976D7D">
          <w:rPr>
            <w:rFonts w:ascii="Arial" w:hAnsi="Arial" w:cs="Arial"/>
            <w:sz w:val="18"/>
            <w:szCs w:val="18"/>
          </w:rPr>
          <w:t>2</w:t>
        </w:r>
        <w:r w:rsidRPr="00976D7D">
          <w:rPr>
            <w:rFonts w:ascii="Arial" w:hAnsi="Arial" w:cs="Arial"/>
            <w:sz w:val="18"/>
            <w:szCs w:val="18"/>
          </w:rPr>
          <w:fldChar w:fldCharType="end"/>
        </w:r>
        <w:r w:rsidRPr="00976D7D">
          <w:rPr>
            <w:rFonts w:ascii="Arial" w:hAnsi="Arial" w:cs="Arial"/>
            <w:sz w:val="18"/>
            <w:szCs w:val="18"/>
          </w:rPr>
          <w:t xml:space="preserve"> de 2</w:t>
        </w:r>
      </w:p>
    </w:sdtContent>
  </w:sdt>
  <w:p w14:paraId="51075531" w14:textId="641775C3" w:rsidR="00A209A4" w:rsidRPr="005F44F9" w:rsidRDefault="00A209A4" w:rsidP="008B57CC">
    <w:pPr>
      <w:pStyle w:val="Piedepgina"/>
      <w:rPr>
        <w:rFonts w:ascii="Arial" w:hAnsi="Arial" w:cs="Arial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FF748" w14:textId="77777777" w:rsidR="003B4DF6" w:rsidRDefault="003B4DF6">
      <w:r>
        <w:separator/>
      </w:r>
    </w:p>
  </w:footnote>
  <w:footnote w:type="continuationSeparator" w:id="0">
    <w:p w14:paraId="41DFECE7" w14:textId="77777777" w:rsidR="003B4DF6" w:rsidRDefault="003B4DF6">
      <w:r>
        <w:continuationSeparator/>
      </w:r>
    </w:p>
  </w:footnote>
  <w:footnote w:id="1">
    <w:p w14:paraId="7FCAC3B1" w14:textId="3FB2FE0B" w:rsidR="00545CEB" w:rsidRPr="008C4098" w:rsidRDefault="00545CEB" w:rsidP="00545CEB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074F2A">
        <w:rPr>
          <w:rFonts w:ascii="Arial" w:hAnsi="Arial" w:cs="Arial"/>
          <w:sz w:val="18"/>
          <w:szCs w:val="18"/>
        </w:rPr>
        <w:t>Actualmente y de</w:t>
      </w:r>
      <w:r w:rsidRPr="00074F2A">
        <w:rPr>
          <w:rFonts w:ascii="Arial" w:hAnsi="Arial" w:cs="Arial"/>
          <w:sz w:val="18"/>
          <w:szCs w:val="18"/>
          <w:lang w:val="es-CO"/>
        </w:rPr>
        <w:t xml:space="preserve"> acuerdo con criterios técnicos, revisados periódicamente, el valor objetivo está en el </w:t>
      </w:r>
      <w:r w:rsidR="000D33E7" w:rsidRPr="00074F2A">
        <w:rPr>
          <w:rFonts w:ascii="Arial" w:hAnsi="Arial" w:cs="Arial"/>
          <w:sz w:val="18"/>
          <w:szCs w:val="18"/>
          <w:lang w:val="es-CO"/>
        </w:rPr>
        <w:t xml:space="preserve">punto </w:t>
      </w:r>
      <w:r w:rsidRPr="00074F2A">
        <w:rPr>
          <w:rFonts w:ascii="Arial" w:hAnsi="Arial" w:cs="Arial"/>
          <w:sz w:val="18"/>
          <w:szCs w:val="18"/>
          <w:lang w:val="es-CO"/>
        </w:rPr>
        <w:t>medio entre el 4.7% y el 5.9% del total de las acreencias amparadas, es decir 5.3% de dichas acreencias.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F2809" w14:textId="77777777" w:rsidR="00A209A4" w:rsidRDefault="00DE3964">
    <w:pPr>
      <w:pStyle w:val="Encabezado"/>
    </w:pPr>
    <w:r w:rsidRPr="006563A9">
      <w:rPr>
        <w:noProof/>
      </w:rPr>
      <w:drawing>
        <wp:anchor distT="0" distB="0" distL="114300" distR="114300" simplePos="0" relativeHeight="251659264" behindDoc="1" locked="0" layoutInCell="1" allowOverlap="1" wp14:anchorId="6E9AC300" wp14:editId="4237C824">
          <wp:simplePos x="0" y="0"/>
          <wp:positionH relativeFrom="column">
            <wp:posOffset>0</wp:posOffset>
          </wp:positionH>
          <wp:positionV relativeFrom="paragraph">
            <wp:posOffset>-281989</wp:posOffset>
          </wp:positionV>
          <wp:extent cx="1486634" cy="678425"/>
          <wp:effectExtent l="0" t="0" r="0" b="0"/>
          <wp:wrapNone/>
          <wp:docPr id="6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34" cy="67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E0AA2"/>
    <w:multiLevelType w:val="hybridMultilevel"/>
    <w:tmpl w:val="407ADF66"/>
    <w:lvl w:ilvl="0" w:tplc="C55A9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E4B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0D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A2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03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6C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2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04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C9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D23E8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15"/>
    <w:rsid w:val="00014A69"/>
    <w:rsid w:val="00017AAA"/>
    <w:rsid w:val="00033C58"/>
    <w:rsid w:val="00042733"/>
    <w:rsid w:val="00066521"/>
    <w:rsid w:val="00073126"/>
    <w:rsid w:val="00074F2A"/>
    <w:rsid w:val="000772EF"/>
    <w:rsid w:val="000834EF"/>
    <w:rsid w:val="000B07D5"/>
    <w:rsid w:val="000B3B4C"/>
    <w:rsid w:val="000D33E7"/>
    <w:rsid w:val="000E6052"/>
    <w:rsid w:val="000E6FE4"/>
    <w:rsid w:val="000F0B19"/>
    <w:rsid w:val="000F7763"/>
    <w:rsid w:val="00123142"/>
    <w:rsid w:val="00131FBC"/>
    <w:rsid w:val="00183027"/>
    <w:rsid w:val="00193F53"/>
    <w:rsid w:val="001A64A1"/>
    <w:rsid w:val="001B7FE5"/>
    <w:rsid w:val="001C06EF"/>
    <w:rsid w:val="001C39EC"/>
    <w:rsid w:val="001D1882"/>
    <w:rsid w:val="001E7CFF"/>
    <w:rsid w:val="001F790A"/>
    <w:rsid w:val="00251C64"/>
    <w:rsid w:val="00265CB9"/>
    <w:rsid w:val="002946F1"/>
    <w:rsid w:val="002B5226"/>
    <w:rsid w:val="0031098A"/>
    <w:rsid w:val="00353628"/>
    <w:rsid w:val="003636B0"/>
    <w:rsid w:val="0038117F"/>
    <w:rsid w:val="00391802"/>
    <w:rsid w:val="003924C9"/>
    <w:rsid w:val="003A137B"/>
    <w:rsid w:val="003B4DF6"/>
    <w:rsid w:val="003B6D0C"/>
    <w:rsid w:val="003D0F36"/>
    <w:rsid w:val="003E4CD3"/>
    <w:rsid w:val="003E6A2D"/>
    <w:rsid w:val="003F3155"/>
    <w:rsid w:val="003F7277"/>
    <w:rsid w:val="00410AC0"/>
    <w:rsid w:val="00423565"/>
    <w:rsid w:val="004313A1"/>
    <w:rsid w:val="0046219C"/>
    <w:rsid w:val="00476715"/>
    <w:rsid w:val="0049603C"/>
    <w:rsid w:val="004C3BFF"/>
    <w:rsid w:val="004D6CCE"/>
    <w:rsid w:val="004E035E"/>
    <w:rsid w:val="004F7E10"/>
    <w:rsid w:val="00521488"/>
    <w:rsid w:val="005439C5"/>
    <w:rsid w:val="00545CEB"/>
    <w:rsid w:val="005462E1"/>
    <w:rsid w:val="0055500C"/>
    <w:rsid w:val="0056343A"/>
    <w:rsid w:val="005849E1"/>
    <w:rsid w:val="005852B4"/>
    <w:rsid w:val="005A5BC4"/>
    <w:rsid w:val="005A6CDA"/>
    <w:rsid w:val="005C2BBA"/>
    <w:rsid w:val="005C3605"/>
    <w:rsid w:val="005F21FD"/>
    <w:rsid w:val="005F44F9"/>
    <w:rsid w:val="005F7AAF"/>
    <w:rsid w:val="00641F0C"/>
    <w:rsid w:val="00645580"/>
    <w:rsid w:val="00667F7B"/>
    <w:rsid w:val="00713445"/>
    <w:rsid w:val="0072586C"/>
    <w:rsid w:val="00727B4C"/>
    <w:rsid w:val="00740A76"/>
    <w:rsid w:val="00744DE2"/>
    <w:rsid w:val="00770257"/>
    <w:rsid w:val="00785EF4"/>
    <w:rsid w:val="007F5F25"/>
    <w:rsid w:val="008008A1"/>
    <w:rsid w:val="00800E90"/>
    <w:rsid w:val="00830950"/>
    <w:rsid w:val="00846EB3"/>
    <w:rsid w:val="00856CC1"/>
    <w:rsid w:val="00872BB7"/>
    <w:rsid w:val="0088189D"/>
    <w:rsid w:val="008936F7"/>
    <w:rsid w:val="008A1AB2"/>
    <w:rsid w:val="008B1865"/>
    <w:rsid w:val="008B57CC"/>
    <w:rsid w:val="008C6BAB"/>
    <w:rsid w:val="008E0346"/>
    <w:rsid w:val="008F5991"/>
    <w:rsid w:val="00901AB4"/>
    <w:rsid w:val="0093130F"/>
    <w:rsid w:val="009525A3"/>
    <w:rsid w:val="00976D7D"/>
    <w:rsid w:val="00990B9A"/>
    <w:rsid w:val="009946A7"/>
    <w:rsid w:val="009E30D9"/>
    <w:rsid w:val="00A12287"/>
    <w:rsid w:val="00A209A4"/>
    <w:rsid w:val="00A31128"/>
    <w:rsid w:val="00A32BA2"/>
    <w:rsid w:val="00A82347"/>
    <w:rsid w:val="00A93C48"/>
    <w:rsid w:val="00AA3A6C"/>
    <w:rsid w:val="00AA5251"/>
    <w:rsid w:val="00AA5C47"/>
    <w:rsid w:val="00AC5C3A"/>
    <w:rsid w:val="00B27C79"/>
    <w:rsid w:val="00B31577"/>
    <w:rsid w:val="00B44DBC"/>
    <w:rsid w:val="00B5239D"/>
    <w:rsid w:val="00B712D6"/>
    <w:rsid w:val="00BA0E13"/>
    <w:rsid w:val="00BC5DC1"/>
    <w:rsid w:val="00BD3122"/>
    <w:rsid w:val="00C17A14"/>
    <w:rsid w:val="00C550F0"/>
    <w:rsid w:val="00CE33B8"/>
    <w:rsid w:val="00D15797"/>
    <w:rsid w:val="00D15CC8"/>
    <w:rsid w:val="00D405CC"/>
    <w:rsid w:val="00D426FD"/>
    <w:rsid w:val="00D52555"/>
    <w:rsid w:val="00D60928"/>
    <w:rsid w:val="00D61E2B"/>
    <w:rsid w:val="00D80A06"/>
    <w:rsid w:val="00D82D63"/>
    <w:rsid w:val="00D84B99"/>
    <w:rsid w:val="00D911F4"/>
    <w:rsid w:val="00D91565"/>
    <w:rsid w:val="00DA5767"/>
    <w:rsid w:val="00DB0227"/>
    <w:rsid w:val="00DC406E"/>
    <w:rsid w:val="00DD13DC"/>
    <w:rsid w:val="00DE3964"/>
    <w:rsid w:val="00E01465"/>
    <w:rsid w:val="00E11881"/>
    <w:rsid w:val="00E273F6"/>
    <w:rsid w:val="00E55F2B"/>
    <w:rsid w:val="00E57C67"/>
    <w:rsid w:val="00E61A18"/>
    <w:rsid w:val="00E7060D"/>
    <w:rsid w:val="00EA3A4B"/>
    <w:rsid w:val="00ED3F3E"/>
    <w:rsid w:val="00F07ADC"/>
    <w:rsid w:val="00F474A2"/>
    <w:rsid w:val="00F81D49"/>
    <w:rsid w:val="00F83AA9"/>
    <w:rsid w:val="00FB1CD3"/>
    <w:rsid w:val="00FB362E"/>
    <w:rsid w:val="00FC0A5D"/>
    <w:rsid w:val="00FD0373"/>
    <w:rsid w:val="00FE5BF0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CA6C7E"/>
  <w15:chartTrackingRefBased/>
  <w15:docId w15:val="{3B9A8FC4-3214-6049-81F8-D1236866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D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9C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5F44F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44F9"/>
  </w:style>
  <w:style w:type="character" w:customStyle="1" w:styleId="PiedepginaCar">
    <w:name w:val="Pie de página Car"/>
    <w:link w:val="Piedepgina"/>
    <w:uiPriority w:val="99"/>
    <w:locked/>
    <w:rsid w:val="009946A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3E4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Textodelmarcadordeposicin">
    <w:name w:val="Placeholder Text"/>
    <w:basedOn w:val="Fuentedeprrafopredeter"/>
    <w:uiPriority w:val="99"/>
    <w:semiHidden/>
    <w:rsid w:val="003E4CD3"/>
    <w:rPr>
      <w:color w:val="808080"/>
    </w:rPr>
  </w:style>
  <w:style w:type="paragraph" w:styleId="Textonotapie">
    <w:name w:val="footnote text"/>
    <w:basedOn w:val="Normal"/>
    <w:link w:val="TextonotapieCar"/>
    <w:rsid w:val="00545CEB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545CEB"/>
    <w:rPr>
      <w:lang w:val="es-ES_tradnl" w:eastAsia="es-ES"/>
    </w:rPr>
  </w:style>
  <w:style w:type="character" w:styleId="Refdenotaalpie">
    <w:name w:val="footnote reference"/>
    <w:basedOn w:val="Fuentedeprrafopredeter"/>
    <w:rsid w:val="00545CEB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DA57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A57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A576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A57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A5767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DA57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A576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croprocesos xmlns="3410525b-d2fa-4a3d-a768-156301000eb6">14</Macroprocesos>
    <Departamento xmlns="86fbb03e-06d9-4e12-899b-85ae2e791394">Jurídico</Departament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F515-C773-4466-AD2F-45C2ABD21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4D06A-AAD0-4064-A358-74A7E2EAA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188F1-1291-40F0-84AC-565592DC37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AC6BAD-8CD1-48DE-853C-0BCD09A9FDAB}">
  <ds:schemaRefs>
    <ds:schemaRef ds:uri="http://schemas.microsoft.com/office/2006/metadata/properties"/>
    <ds:schemaRef ds:uri="http://schemas.microsoft.com/office/infopath/2007/PartnerControls"/>
    <ds:schemaRef ds:uri="3410525b-d2fa-4a3d-a768-156301000eb6"/>
    <ds:schemaRef ds:uri="86fbb03e-06d9-4e12-899b-85ae2e791394"/>
  </ds:schemaRefs>
</ds:datastoreItem>
</file>

<file path=customXml/itemProps5.xml><?xml version="1.0" encoding="utf-8"?>
<ds:datastoreItem xmlns:ds="http://schemas.openxmlformats.org/officeDocument/2006/customXml" ds:itemID="{929C4F3E-C82C-4905-86D2-3420EB6C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INDTITUCIONES FINANCIERAS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GARANTIAS DE</dc:creator>
  <cp:keywords/>
  <cp:lastModifiedBy>Efren Camacho Moreno</cp:lastModifiedBy>
  <cp:revision>4</cp:revision>
  <cp:lastPrinted>2008-10-02T22:26:00Z</cp:lastPrinted>
  <dcterms:created xsi:type="dcterms:W3CDTF">2020-10-29T23:01:00Z</dcterms:created>
  <dcterms:modified xsi:type="dcterms:W3CDTF">2020-10-29T23:07:00Z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croprocesos">
    <vt:lpwstr>14</vt:lpwstr>
  </property>
  <property fmtid="{D5CDD505-2E9C-101B-9397-08002B2CF9AE}" pid="3" name="Departamento">
    <vt:lpwstr>Jurídico</vt:lpwstr>
  </property>
  <property fmtid="{D5CDD505-2E9C-101B-9397-08002B2CF9AE}" pid="4" name="ContentTypeId">
    <vt:lpwstr>0x010100D6EA729DC2D5364692565BF43CEEA661</vt:lpwstr>
  </property>
</Properties>
</file>