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9D2F1" w14:textId="77777777" w:rsidR="00E66820" w:rsidRPr="00F6393A" w:rsidRDefault="00980A61" w:rsidP="00AE60C2">
      <w:pPr>
        <w:spacing w:after="0" w:line="240" w:lineRule="auto"/>
        <w:jc w:val="center"/>
        <w:rPr>
          <w:b/>
          <w:sz w:val="20"/>
          <w:szCs w:val="20"/>
        </w:rPr>
      </w:pPr>
      <w:r w:rsidRPr="00F6393A">
        <w:rPr>
          <w:b/>
          <w:sz w:val="20"/>
          <w:szCs w:val="20"/>
        </w:rPr>
        <w:t xml:space="preserve">DEFENSA </w:t>
      </w:r>
      <w:r w:rsidR="00205026" w:rsidRPr="00F6393A">
        <w:rPr>
          <w:b/>
          <w:sz w:val="20"/>
          <w:szCs w:val="20"/>
        </w:rPr>
        <w:t>JUDICIAL</w:t>
      </w:r>
    </w:p>
    <w:p w14:paraId="396E4C1B" w14:textId="77777777" w:rsidR="00980A61" w:rsidRPr="00F6393A" w:rsidRDefault="00980A61" w:rsidP="00AE60C2">
      <w:pPr>
        <w:spacing w:after="0" w:line="240" w:lineRule="auto"/>
        <w:jc w:val="center"/>
        <w:rPr>
          <w:b/>
          <w:sz w:val="20"/>
          <w:szCs w:val="20"/>
        </w:rPr>
      </w:pPr>
      <w:r w:rsidRPr="00F6393A">
        <w:rPr>
          <w:b/>
          <w:sz w:val="20"/>
          <w:szCs w:val="20"/>
        </w:rPr>
        <w:t>Reporte Trimestral</w:t>
      </w:r>
    </w:p>
    <w:p w14:paraId="576A7881" w14:textId="1464B57B" w:rsidR="00980A61" w:rsidRPr="00F6393A" w:rsidRDefault="004E704F" w:rsidP="00AE60C2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Octubre a Diciembre</w:t>
      </w:r>
      <w:r w:rsidR="003230E6">
        <w:rPr>
          <w:b/>
          <w:sz w:val="20"/>
          <w:szCs w:val="20"/>
        </w:rPr>
        <w:t xml:space="preserve"> </w:t>
      </w:r>
      <w:r w:rsidR="007A20B0">
        <w:rPr>
          <w:b/>
          <w:sz w:val="20"/>
          <w:szCs w:val="20"/>
        </w:rPr>
        <w:t>de 202</w:t>
      </w:r>
      <w:r w:rsidR="00772304">
        <w:rPr>
          <w:b/>
          <w:sz w:val="20"/>
          <w:szCs w:val="20"/>
        </w:rPr>
        <w:t>5</w:t>
      </w:r>
    </w:p>
    <w:p w14:paraId="2A9DDEC2" w14:textId="77777777" w:rsidR="00205026" w:rsidRPr="00F6393A" w:rsidRDefault="00205026" w:rsidP="00AE60C2">
      <w:pPr>
        <w:spacing w:after="0"/>
        <w:jc w:val="both"/>
        <w:rPr>
          <w:sz w:val="20"/>
          <w:szCs w:val="20"/>
        </w:rPr>
      </w:pPr>
    </w:p>
    <w:p w14:paraId="05776F8E" w14:textId="7CB7C4EA" w:rsidR="00980A61" w:rsidRPr="00E4433C" w:rsidRDefault="00205026" w:rsidP="00557C9C">
      <w:pPr>
        <w:spacing w:after="0" w:line="240" w:lineRule="auto"/>
        <w:jc w:val="both"/>
        <w:rPr>
          <w:sz w:val="20"/>
          <w:szCs w:val="20"/>
        </w:rPr>
      </w:pPr>
      <w:r w:rsidRPr="00E4433C">
        <w:rPr>
          <w:sz w:val="20"/>
          <w:szCs w:val="20"/>
        </w:rPr>
        <w:t xml:space="preserve">En cumplimiento </w:t>
      </w:r>
      <w:r w:rsidR="00CE1DAC" w:rsidRPr="00E4433C">
        <w:rPr>
          <w:sz w:val="20"/>
          <w:szCs w:val="20"/>
        </w:rPr>
        <w:t>de</w:t>
      </w:r>
      <w:r w:rsidRPr="00E4433C">
        <w:rPr>
          <w:sz w:val="20"/>
          <w:szCs w:val="20"/>
        </w:rPr>
        <w:t xml:space="preserve"> la Resolución No. </w:t>
      </w:r>
      <w:r w:rsidR="00CA2E99">
        <w:rPr>
          <w:sz w:val="20"/>
          <w:szCs w:val="20"/>
        </w:rPr>
        <w:t xml:space="preserve">1519 </w:t>
      </w:r>
      <w:r w:rsidRPr="00E4433C">
        <w:rPr>
          <w:sz w:val="20"/>
          <w:szCs w:val="20"/>
        </w:rPr>
        <w:t xml:space="preserve">del </w:t>
      </w:r>
      <w:r w:rsidR="00CA2E99">
        <w:rPr>
          <w:sz w:val="20"/>
          <w:szCs w:val="20"/>
        </w:rPr>
        <w:t>24 de agosto de 2020</w:t>
      </w:r>
      <w:r w:rsidR="00CE1DAC" w:rsidRPr="00E4433C">
        <w:rPr>
          <w:sz w:val="20"/>
          <w:szCs w:val="20"/>
        </w:rPr>
        <w:t>,</w:t>
      </w:r>
      <w:r w:rsidRPr="00E4433C">
        <w:rPr>
          <w:sz w:val="20"/>
          <w:szCs w:val="20"/>
        </w:rPr>
        <w:t xml:space="preserve"> expedida por el Ministerio de Tecnologías de la Información y la</w:t>
      </w:r>
      <w:r w:rsidR="00F16B4D" w:rsidRPr="00E4433C">
        <w:rPr>
          <w:sz w:val="20"/>
          <w:szCs w:val="20"/>
        </w:rPr>
        <w:t>s</w:t>
      </w:r>
      <w:r w:rsidRPr="00E4433C">
        <w:rPr>
          <w:sz w:val="20"/>
          <w:szCs w:val="20"/>
        </w:rPr>
        <w:t xml:space="preserve"> Comunicaciones, Fogafín publica la información relacionada con la Defensa Judicial d</w:t>
      </w:r>
      <w:r w:rsidR="00D93450" w:rsidRPr="00E4433C">
        <w:rPr>
          <w:sz w:val="20"/>
          <w:szCs w:val="20"/>
        </w:rPr>
        <w:t xml:space="preserve">urante el trimestre </w:t>
      </w:r>
      <w:r w:rsidR="004E704F">
        <w:rPr>
          <w:bCs/>
          <w:sz w:val="20"/>
          <w:szCs w:val="20"/>
        </w:rPr>
        <w:t>Octubre a Diciembre</w:t>
      </w:r>
      <w:r w:rsidR="008E5850">
        <w:rPr>
          <w:b/>
          <w:sz w:val="20"/>
          <w:szCs w:val="20"/>
        </w:rPr>
        <w:t xml:space="preserve"> </w:t>
      </w:r>
      <w:r w:rsidR="00D846F8" w:rsidRPr="00E4433C">
        <w:rPr>
          <w:sz w:val="20"/>
          <w:szCs w:val="20"/>
        </w:rPr>
        <w:t>de 20</w:t>
      </w:r>
      <w:r w:rsidR="00066C0F" w:rsidRPr="00E4433C">
        <w:rPr>
          <w:sz w:val="20"/>
          <w:szCs w:val="20"/>
        </w:rPr>
        <w:t>2</w:t>
      </w:r>
      <w:r w:rsidR="00D939CB">
        <w:rPr>
          <w:sz w:val="20"/>
          <w:szCs w:val="20"/>
        </w:rPr>
        <w:t>5</w:t>
      </w:r>
      <w:r w:rsidR="00980A61" w:rsidRPr="00E4433C">
        <w:rPr>
          <w:sz w:val="20"/>
          <w:szCs w:val="20"/>
        </w:rPr>
        <w:t xml:space="preserve">: </w:t>
      </w:r>
    </w:p>
    <w:p w14:paraId="3A0DB2A6" w14:textId="77777777" w:rsidR="00557C9C" w:rsidRPr="00E4433C" w:rsidRDefault="00557C9C" w:rsidP="00557C9C">
      <w:pPr>
        <w:spacing w:after="0" w:line="240" w:lineRule="auto"/>
        <w:jc w:val="both"/>
        <w:rPr>
          <w:b/>
          <w:sz w:val="20"/>
          <w:szCs w:val="20"/>
        </w:rPr>
      </w:pPr>
    </w:p>
    <w:p w14:paraId="478B4E34" w14:textId="5209CB4A" w:rsidR="00BF6AF2" w:rsidRPr="003F49BB" w:rsidRDefault="00214E1B" w:rsidP="001427D8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3F49BB">
        <w:rPr>
          <w:b/>
          <w:sz w:val="20"/>
          <w:szCs w:val="20"/>
        </w:rPr>
        <w:t>PROCESOS COMO PARTE PASIVA:</w:t>
      </w:r>
      <w:r w:rsidRPr="003F49BB">
        <w:rPr>
          <w:sz w:val="20"/>
          <w:szCs w:val="20"/>
        </w:rPr>
        <w:t xml:space="preserve"> </w:t>
      </w:r>
      <w:r w:rsidR="00205026" w:rsidRPr="003F49BB">
        <w:rPr>
          <w:sz w:val="20"/>
          <w:szCs w:val="20"/>
        </w:rPr>
        <w:t>L</w:t>
      </w:r>
      <w:r w:rsidR="00980A61" w:rsidRPr="003F49BB">
        <w:rPr>
          <w:sz w:val="20"/>
          <w:szCs w:val="20"/>
        </w:rPr>
        <w:t xml:space="preserve">a entidad </w:t>
      </w:r>
      <w:r w:rsidR="00F16B4D" w:rsidRPr="003F49BB">
        <w:rPr>
          <w:sz w:val="20"/>
          <w:szCs w:val="20"/>
        </w:rPr>
        <w:t xml:space="preserve">al </w:t>
      </w:r>
      <w:r w:rsidR="00BE43DF" w:rsidRPr="003F49BB">
        <w:rPr>
          <w:sz w:val="20"/>
          <w:szCs w:val="20"/>
        </w:rPr>
        <w:t>3</w:t>
      </w:r>
      <w:r w:rsidR="002A1B48">
        <w:rPr>
          <w:sz w:val="20"/>
          <w:szCs w:val="20"/>
        </w:rPr>
        <w:t xml:space="preserve">0 de </w:t>
      </w:r>
      <w:r w:rsidR="006971C6">
        <w:rPr>
          <w:sz w:val="20"/>
          <w:szCs w:val="20"/>
        </w:rPr>
        <w:t>septiembre de</w:t>
      </w:r>
      <w:r w:rsidR="002A1B48">
        <w:rPr>
          <w:sz w:val="20"/>
          <w:szCs w:val="20"/>
        </w:rPr>
        <w:t xml:space="preserve"> </w:t>
      </w:r>
      <w:r w:rsidR="003230E6">
        <w:rPr>
          <w:sz w:val="20"/>
          <w:szCs w:val="20"/>
        </w:rPr>
        <w:t xml:space="preserve">2025 </w:t>
      </w:r>
      <w:r w:rsidR="00613B83" w:rsidRPr="003F49BB">
        <w:rPr>
          <w:sz w:val="20"/>
          <w:szCs w:val="20"/>
        </w:rPr>
        <w:t>mant</w:t>
      </w:r>
      <w:r w:rsidR="00980A61" w:rsidRPr="003F49BB">
        <w:rPr>
          <w:sz w:val="20"/>
          <w:szCs w:val="20"/>
        </w:rPr>
        <w:t>enía</w:t>
      </w:r>
      <w:r w:rsidR="00860842" w:rsidRPr="003F49BB">
        <w:rPr>
          <w:sz w:val="20"/>
          <w:szCs w:val="20"/>
        </w:rPr>
        <w:t xml:space="preserve"> </w:t>
      </w:r>
      <w:r w:rsidR="002A1B48">
        <w:rPr>
          <w:sz w:val="20"/>
          <w:szCs w:val="20"/>
        </w:rPr>
        <w:t xml:space="preserve">treinta y </w:t>
      </w:r>
      <w:r w:rsidR="006971C6">
        <w:rPr>
          <w:sz w:val="20"/>
          <w:szCs w:val="20"/>
        </w:rPr>
        <w:t xml:space="preserve">cuatro </w:t>
      </w:r>
      <w:r w:rsidR="003230E6" w:rsidRPr="003F49BB">
        <w:rPr>
          <w:sz w:val="20"/>
          <w:szCs w:val="20"/>
        </w:rPr>
        <w:t>(</w:t>
      </w:r>
      <w:r w:rsidR="002A1B48">
        <w:rPr>
          <w:sz w:val="20"/>
          <w:szCs w:val="20"/>
        </w:rPr>
        <w:t>3</w:t>
      </w:r>
      <w:r w:rsidR="006971C6">
        <w:rPr>
          <w:sz w:val="20"/>
          <w:szCs w:val="20"/>
        </w:rPr>
        <w:t>4</w:t>
      </w:r>
      <w:r w:rsidR="003230E6" w:rsidRPr="003F49BB">
        <w:rPr>
          <w:sz w:val="20"/>
          <w:szCs w:val="20"/>
        </w:rPr>
        <w:t>)</w:t>
      </w:r>
      <w:r w:rsidR="003230E6">
        <w:rPr>
          <w:sz w:val="20"/>
          <w:szCs w:val="20"/>
        </w:rPr>
        <w:t xml:space="preserve"> </w:t>
      </w:r>
      <w:r w:rsidR="0095524F" w:rsidRPr="003F49BB">
        <w:rPr>
          <w:sz w:val="20"/>
          <w:szCs w:val="20"/>
        </w:rPr>
        <w:t xml:space="preserve">procesos </w:t>
      </w:r>
      <w:r w:rsidR="00980A61" w:rsidRPr="003F49BB">
        <w:rPr>
          <w:sz w:val="20"/>
          <w:szCs w:val="20"/>
        </w:rPr>
        <w:t>instaurados por terceros en contra del Fondo o donde fue llamado en garantía o vinculado como t</w:t>
      </w:r>
      <w:r w:rsidR="005E4B9A" w:rsidRPr="003F49BB">
        <w:rPr>
          <w:sz w:val="20"/>
          <w:szCs w:val="20"/>
        </w:rPr>
        <w:t xml:space="preserve">ercero. </w:t>
      </w:r>
      <w:r w:rsidR="00EB002E" w:rsidRPr="003F49BB">
        <w:rPr>
          <w:sz w:val="20"/>
          <w:szCs w:val="20"/>
        </w:rPr>
        <w:t>D</w:t>
      </w:r>
      <w:r w:rsidR="00F16B4D" w:rsidRPr="003F49BB">
        <w:rPr>
          <w:sz w:val="20"/>
          <w:szCs w:val="20"/>
        </w:rPr>
        <w:t>urante el trimestre</w:t>
      </w:r>
      <w:r w:rsidR="004F4E53" w:rsidRPr="003F49BB">
        <w:rPr>
          <w:sz w:val="20"/>
          <w:szCs w:val="20"/>
        </w:rPr>
        <w:t xml:space="preserve"> </w:t>
      </w:r>
      <w:r w:rsidR="003230E6">
        <w:rPr>
          <w:sz w:val="20"/>
          <w:szCs w:val="20"/>
        </w:rPr>
        <w:t xml:space="preserve">fueron </w:t>
      </w:r>
      <w:r w:rsidR="00533BC0">
        <w:rPr>
          <w:sz w:val="20"/>
          <w:szCs w:val="20"/>
        </w:rPr>
        <w:t>notifica</w:t>
      </w:r>
      <w:r w:rsidR="003230E6">
        <w:rPr>
          <w:sz w:val="20"/>
          <w:szCs w:val="20"/>
        </w:rPr>
        <w:t xml:space="preserve">dos </w:t>
      </w:r>
      <w:r w:rsidR="006971C6">
        <w:rPr>
          <w:sz w:val="20"/>
          <w:szCs w:val="20"/>
        </w:rPr>
        <w:t>tres</w:t>
      </w:r>
      <w:r w:rsidR="003230E6">
        <w:rPr>
          <w:sz w:val="20"/>
          <w:szCs w:val="20"/>
        </w:rPr>
        <w:t xml:space="preserve"> (</w:t>
      </w:r>
      <w:r w:rsidR="006971C6">
        <w:rPr>
          <w:sz w:val="20"/>
          <w:szCs w:val="20"/>
        </w:rPr>
        <w:t>3</w:t>
      </w:r>
      <w:r w:rsidR="003230E6">
        <w:rPr>
          <w:sz w:val="20"/>
          <w:szCs w:val="20"/>
        </w:rPr>
        <w:t xml:space="preserve">) </w:t>
      </w:r>
      <w:r w:rsidR="00772304">
        <w:rPr>
          <w:sz w:val="20"/>
          <w:szCs w:val="20"/>
        </w:rPr>
        <w:t xml:space="preserve">procesos </w:t>
      </w:r>
      <w:r w:rsidR="00533BC0">
        <w:rPr>
          <w:sz w:val="20"/>
          <w:szCs w:val="20"/>
        </w:rPr>
        <w:t>nuevos</w:t>
      </w:r>
      <w:r w:rsidR="000D35EB">
        <w:rPr>
          <w:sz w:val="20"/>
          <w:szCs w:val="20"/>
        </w:rPr>
        <w:t xml:space="preserve"> y</w:t>
      </w:r>
      <w:r w:rsidR="002A1B48">
        <w:rPr>
          <w:sz w:val="20"/>
          <w:szCs w:val="20"/>
        </w:rPr>
        <w:t xml:space="preserve"> se terminaron </w:t>
      </w:r>
      <w:r w:rsidR="006971C6">
        <w:rPr>
          <w:sz w:val="20"/>
          <w:szCs w:val="20"/>
        </w:rPr>
        <w:t>tres</w:t>
      </w:r>
      <w:r w:rsidR="002A1B48">
        <w:rPr>
          <w:sz w:val="20"/>
          <w:szCs w:val="20"/>
        </w:rPr>
        <w:t xml:space="preserve"> (</w:t>
      </w:r>
      <w:r w:rsidR="006971C6">
        <w:rPr>
          <w:sz w:val="20"/>
          <w:szCs w:val="20"/>
        </w:rPr>
        <w:t>3</w:t>
      </w:r>
      <w:r w:rsidR="002A1B48">
        <w:rPr>
          <w:sz w:val="20"/>
          <w:szCs w:val="20"/>
        </w:rPr>
        <w:t>) procesos con decisión favorable para el Fondo</w:t>
      </w:r>
      <w:r w:rsidR="00A70F43" w:rsidRPr="003F49BB">
        <w:rPr>
          <w:sz w:val="20"/>
          <w:szCs w:val="20"/>
        </w:rPr>
        <w:t xml:space="preserve">, </w:t>
      </w:r>
      <w:r w:rsidR="00980A61" w:rsidRPr="003F49BB">
        <w:rPr>
          <w:sz w:val="20"/>
          <w:szCs w:val="20"/>
        </w:rPr>
        <w:t>quedando al cierre del</w:t>
      </w:r>
      <w:r w:rsidR="00D846F8" w:rsidRPr="003F49BB">
        <w:rPr>
          <w:sz w:val="20"/>
          <w:szCs w:val="20"/>
        </w:rPr>
        <w:t xml:space="preserve"> mes de</w:t>
      </w:r>
      <w:r w:rsidR="00860842" w:rsidRPr="003F49BB">
        <w:rPr>
          <w:sz w:val="20"/>
          <w:szCs w:val="20"/>
        </w:rPr>
        <w:t xml:space="preserve"> </w:t>
      </w:r>
      <w:r w:rsidR="006971C6">
        <w:rPr>
          <w:sz w:val="20"/>
          <w:szCs w:val="20"/>
        </w:rPr>
        <w:t xml:space="preserve">diciembre </w:t>
      </w:r>
      <w:r w:rsidR="00860842" w:rsidRPr="003F49BB">
        <w:rPr>
          <w:sz w:val="20"/>
          <w:szCs w:val="20"/>
        </w:rPr>
        <w:t>de</w:t>
      </w:r>
      <w:r w:rsidR="00B57FC7" w:rsidRPr="003F49BB">
        <w:rPr>
          <w:sz w:val="20"/>
          <w:szCs w:val="20"/>
        </w:rPr>
        <w:t xml:space="preserve"> 202</w:t>
      </w:r>
      <w:r w:rsidR="00772304">
        <w:rPr>
          <w:sz w:val="20"/>
          <w:szCs w:val="20"/>
        </w:rPr>
        <w:t>5</w:t>
      </w:r>
      <w:r w:rsidR="00D939CB">
        <w:rPr>
          <w:sz w:val="20"/>
          <w:szCs w:val="20"/>
        </w:rPr>
        <w:t>,</w:t>
      </w:r>
      <w:r w:rsidR="00772304">
        <w:rPr>
          <w:sz w:val="20"/>
          <w:szCs w:val="20"/>
        </w:rPr>
        <w:t xml:space="preserve"> </w:t>
      </w:r>
      <w:r w:rsidR="003230E6">
        <w:rPr>
          <w:sz w:val="20"/>
          <w:szCs w:val="20"/>
        </w:rPr>
        <w:t>treinta y</w:t>
      </w:r>
      <w:r w:rsidR="00E75E67">
        <w:rPr>
          <w:sz w:val="20"/>
          <w:szCs w:val="20"/>
        </w:rPr>
        <w:t xml:space="preserve"> cuatro</w:t>
      </w:r>
      <w:r w:rsidR="003230E6">
        <w:rPr>
          <w:sz w:val="20"/>
          <w:szCs w:val="20"/>
        </w:rPr>
        <w:t xml:space="preserve"> </w:t>
      </w:r>
      <w:r w:rsidR="00816641" w:rsidRPr="003F49BB">
        <w:rPr>
          <w:sz w:val="20"/>
          <w:szCs w:val="20"/>
        </w:rPr>
        <w:t>(</w:t>
      </w:r>
      <w:r w:rsidR="003230E6">
        <w:rPr>
          <w:sz w:val="20"/>
          <w:szCs w:val="20"/>
        </w:rPr>
        <w:t>3</w:t>
      </w:r>
      <w:r w:rsidR="00E75E67">
        <w:rPr>
          <w:sz w:val="20"/>
          <w:szCs w:val="20"/>
        </w:rPr>
        <w:t>4</w:t>
      </w:r>
      <w:r w:rsidR="00860842" w:rsidRPr="003F49BB">
        <w:rPr>
          <w:sz w:val="20"/>
          <w:szCs w:val="20"/>
        </w:rPr>
        <w:t>)</w:t>
      </w:r>
      <w:r w:rsidR="0095524F" w:rsidRPr="003F49BB">
        <w:rPr>
          <w:sz w:val="20"/>
          <w:szCs w:val="20"/>
        </w:rPr>
        <w:t xml:space="preserve"> procesos</w:t>
      </w:r>
      <w:r w:rsidR="00613B83" w:rsidRPr="003F49BB">
        <w:rPr>
          <w:sz w:val="20"/>
          <w:szCs w:val="20"/>
        </w:rPr>
        <w:t xml:space="preserve"> </w:t>
      </w:r>
      <w:r w:rsidR="00980A61" w:rsidRPr="003F49BB">
        <w:rPr>
          <w:sz w:val="20"/>
          <w:szCs w:val="20"/>
        </w:rPr>
        <w:t xml:space="preserve">vigentes con una </w:t>
      </w:r>
      <w:r w:rsidR="009B37C3" w:rsidRPr="003F49BB">
        <w:rPr>
          <w:sz w:val="20"/>
          <w:szCs w:val="20"/>
        </w:rPr>
        <w:t>contingencia</w:t>
      </w:r>
      <w:r w:rsidR="00980A61" w:rsidRPr="003F49BB">
        <w:rPr>
          <w:sz w:val="20"/>
          <w:szCs w:val="20"/>
        </w:rPr>
        <w:t xml:space="preserve"> </w:t>
      </w:r>
      <w:r w:rsidR="00980A61" w:rsidRPr="00C90C78">
        <w:rPr>
          <w:sz w:val="20"/>
          <w:szCs w:val="20"/>
        </w:rPr>
        <w:t>aproximada de $</w:t>
      </w:r>
      <w:r w:rsidR="00C90C78" w:rsidRPr="00C90C78">
        <w:rPr>
          <w:sz w:val="20"/>
          <w:szCs w:val="20"/>
        </w:rPr>
        <w:t>1.7</w:t>
      </w:r>
      <w:r w:rsidR="00980A61" w:rsidRPr="00C90C78">
        <w:rPr>
          <w:sz w:val="20"/>
          <w:szCs w:val="20"/>
        </w:rPr>
        <w:t xml:space="preserve"> </w:t>
      </w:r>
      <w:r w:rsidR="007A20B0" w:rsidRPr="00C90C78">
        <w:rPr>
          <w:sz w:val="20"/>
          <w:szCs w:val="20"/>
        </w:rPr>
        <w:t>billones</w:t>
      </w:r>
      <w:r w:rsidR="00980A61" w:rsidRPr="00C90C78">
        <w:rPr>
          <w:sz w:val="20"/>
          <w:szCs w:val="20"/>
        </w:rPr>
        <w:t xml:space="preserve"> de pesos</w:t>
      </w:r>
      <w:r w:rsidR="00980A61" w:rsidRPr="003F49BB">
        <w:rPr>
          <w:sz w:val="20"/>
          <w:szCs w:val="20"/>
        </w:rPr>
        <w:t xml:space="preserve">. </w:t>
      </w:r>
    </w:p>
    <w:p w14:paraId="3B4D8B63" w14:textId="77777777" w:rsidR="00860842" w:rsidRPr="00816641" w:rsidRDefault="00860842" w:rsidP="00860842">
      <w:pPr>
        <w:pStyle w:val="Prrafodelista"/>
        <w:spacing w:after="0" w:line="240" w:lineRule="auto"/>
        <w:jc w:val="both"/>
        <w:rPr>
          <w:sz w:val="20"/>
          <w:szCs w:val="20"/>
        </w:rPr>
      </w:pPr>
    </w:p>
    <w:p w14:paraId="07FBBB79" w14:textId="410EC897" w:rsidR="0012075E" w:rsidRDefault="00C53B1B" w:rsidP="001260A8">
      <w:pPr>
        <w:pStyle w:val="Prrafodelista"/>
        <w:spacing w:after="0" w:line="240" w:lineRule="auto"/>
        <w:jc w:val="center"/>
        <w:rPr>
          <w:noProof/>
          <w:sz w:val="20"/>
          <w:szCs w:val="20"/>
        </w:rPr>
      </w:pPr>
      <w:r>
        <w:rPr>
          <w:noProof/>
        </w:rPr>
        <w:drawing>
          <wp:inline distT="0" distB="0" distL="0" distR="0" wp14:anchorId="6F32144E" wp14:editId="4539F1ED">
            <wp:extent cx="4286250" cy="2162175"/>
            <wp:effectExtent l="0" t="0" r="0" b="9525"/>
            <wp:docPr id="165808772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DE6EB48" w14:textId="420193D7" w:rsidR="00C03BB9" w:rsidRDefault="00C03BB9" w:rsidP="001427D8">
      <w:pPr>
        <w:pStyle w:val="Prrafodelista"/>
        <w:spacing w:after="0" w:line="240" w:lineRule="auto"/>
        <w:ind w:left="0"/>
        <w:jc w:val="center"/>
        <w:rPr>
          <w:noProof/>
          <w:sz w:val="20"/>
          <w:szCs w:val="20"/>
        </w:rPr>
      </w:pPr>
    </w:p>
    <w:p w14:paraId="3AA88262" w14:textId="2920E8E1" w:rsidR="003F49BB" w:rsidRDefault="00CA6F97" w:rsidP="001427D8">
      <w:pPr>
        <w:ind w:left="426"/>
        <w:jc w:val="both"/>
        <w:rPr>
          <w:noProof/>
          <w:sz w:val="20"/>
          <w:szCs w:val="20"/>
          <w:lang w:eastAsia="es-CO"/>
        </w:rPr>
      </w:pPr>
      <w:r w:rsidRPr="00E4433C">
        <w:rPr>
          <w:noProof/>
          <w:sz w:val="20"/>
          <w:szCs w:val="20"/>
          <w:lang w:eastAsia="es-CO"/>
        </w:rPr>
        <w:t>De</w:t>
      </w:r>
      <w:r w:rsidR="00205026" w:rsidRPr="00E4433C">
        <w:rPr>
          <w:noProof/>
          <w:sz w:val="20"/>
          <w:szCs w:val="20"/>
          <w:lang w:eastAsia="es-CO"/>
        </w:rPr>
        <w:t xml:space="preserve"> los</w:t>
      </w:r>
      <w:r w:rsidR="00F16B4D" w:rsidRPr="00E4433C">
        <w:rPr>
          <w:noProof/>
          <w:sz w:val="20"/>
          <w:szCs w:val="20"/>
          <w:lang w:eastAsia="es-CO"/>
        </w:rPr>
        <w:t xml:space="preserve"> </w:t>
      </w:r>
      <w:r w:rsidR="00E11155">
        <w:rPr>
          <w:noProof/>
          <w:sz w:val="20"/>
          <w:szCs w:val="20"/>
          <w:lang w:eastAsia="es-CO"/>
        </w:rPr>
        <w:t>3</w:t>
      </w:r>
      <w:r w:rsidR="00E75E67">
        <w:rPr>
          <w:noProof/>
          <w:sz w:val="20"/>
          <w:szCs w:val="20"/>
          <w:lang w:eastAsia="es-CO"/>
        </w:rPr>
        <w:t>4</w:t>
      </w:r>
      <w:r w:rsidR="00B55334">
        <w:rPr>
          <w:noProof/>
          <w:sz w:val="20"/>
          <w:szCs w:val="20"/>
          <w:lang w:eastAsia="es-CO"/>
        </w:rPr>
        <w:t xml:space="preserve"> </w:t>
      </w:r>
      <w:r w:rsidR="00F16B4D" w:rsidRPr="00E4433C">
        <w:rPr>
          <w:noProof/>
          <w:sz w:val="20"/>
          <w:szCs w:val="20"/>
          <w:lang w:eastAsia="es-CO"/>
        </w:rPr>
        <w:t xml:space="preserve">procesos vigentes en contra de la entidad, se ha estimado que </w:t>
      </w:r>
      <w:r w:rsidR="00B55334">
        <w:rPr>
          <w:noProof/>
          <w:sz w:val="20"/>
          <w:szCs w:val="20"/>
          <w:lang w:eastAsia="es-CO"/>
        </w:rPr>
        <w:t>2</w:t>
      </w:r>
      <w:r w:rsidR="006971C6">
        <w:rPr>
          <w:noProof/>
          <w:sz w:val="20"/>
          <w:szCs w:val="20"/>
          <w:lang w:eastAsia="es-CO"/>
        </w:rPr>
        <w:t>8</w:t>
      </w:r>
      <w:r w:rsidR="00086908" w:rsidRPr="00E4433C">
        <w:rPr>
          <w:noProof/>
          <w:sz w:val="20"/>
          <w:szCs w:val="20"/>
          <w:lang w:eastAsia="es-CO"/>
        </w:rPr>
        <w:t xml:space="preserve"> </w:t>
      </w:r>
      <w:r w:rsidR="00F16B4D" w:rsidRPr="00E4433C">
        <w:rPr>
          <w:noProof/>
          <w:sz w:val="20"/>
          <w:szCs w:val="20"/>
          <w:lang w:eastAsia="es-CO"/>
        </w:rPr>
        <w:t>t</w:t>
      </w:r>
      <w:r w:rsidR="00D841C5" w:rsidRPr="00E4433C">
        <w:rPr>
          <w:noProof/>
          <w:sz w:val="20"/>
          <w:szCs w:val="20"/>
          <w:lang w:eastAsia="es-CO"/>
        </w:rPr>
        <w:t xml:space="preserve">ienen riesgo de pérdida remoto </w:t>
      </w:r>
      <w:r w:rsidR="0083418A" w:rsidRPr="00E4433C">
        <w:rPr>
          <w:noProof/>
          <w:sz w:val="20"/>
          <w:szCs w:val="20"/>
          <w:lang w:eastAsia="es-CO"/>
        </w:rPr>
        <w:t>(</w:t>
      </w:r>
      <w:r w:rsidR="006971C6">
        <w:rPr>
          <w:noProof/>
          <w:sz w:val="20"/>
          <w:szCs w:val="20"/>
          <w:lang w:eastAsia="es-CO"/>
        </w:rPr>
        <w:t>82</w:t>
      </w:r>
      <w:r w:rsidR="00F16B4D" w:rsidRPr="00E4433C">
        <w:rPr>
          <w:noProof/>
          <w:sz w:val="20"/>
          <w:szCs w:val="20"/>
          <w:lang w:eastAsia="es-CO"/>
        </w:rPr>
        <w:t xml:space="preserve">%), </w:t>
      </w:r>
      <w:r w:rsidR="006971C6">
        <w:rPr>
          <w:noProof/>
          <w:sz w:val="20"/>
          <w:szCs w:val="20"/>
          <w:lang w:eastAsia="es-CO"/>
        </w:rPr>
        <w:t>1</w:t>
      </w:r>
      <w:r w:rsidR="00F16B4D" w:rsidRPr="00E4433C">
        <w:rPr>
          <w:noProof/>
          <w:sz w:val="20"/>
          <w:szCs w:val="20"/>
          <w:lang w:eastAsia="es-CO"/>
        </w:rPr>
        <w:t xml:space="preserve"> de ellos han </w:t>
      </w:r>
      <w:r w:rsidR="00613B83" w:rsidRPr="00E4433C">
        <w:rPr>
          <w:noProof/>
          <w:sz w:val="20"/>
          <w:szCs w:val="20"/>
          <w:lang w:eastAsia="es-CO"/>
        </w:rPr>
        <w:t>sido calificados con un posibil</w:t>
      </w:r>
      <w:r w:rsidR="00F16B4D" w:rsidRPr="00E4433C">
        <w:rPr>
          <w:noProof/>
          <w:sz w:val="20"/>
          <w:szCs w:val="20"/>
          <w:lang w:eastAsia="es-CO"/>
        </w:rPr>
        <w:t>i</w:t>
      </w:r>
      <w:r w:rsidR="00613B83" w:rsidRPr="00E4433C">
        <w:rPr>
          <w:noProof/>
          <w:sz w:val="20"/>
          <w:szCs w:val="20"/>
          <w:lang w:eastAsia="es-CO"/>
        </w:rPr>
        <w:t>d</w:t>
      </w:r>
      <w:r w:rsidR="00F16B4D" w:rsidRPr="00E4433C">
        <w:rPr>
          <w:noProof/>
          <w:sz w:val="20"/>
          <w:szCs w:val="20"/>
          <w:lang w:eastAsia="es-CO"/>
        </w:rPr>
        <w:t xml:space="preserve">ad de pérdida </w:t>
      </w:r>
      <w:r w:rsidR="00D4387A" w:rsidRPr="00E4433C">
        <w:rPr>
          <w:noProof/>
          <w:sz w:val="20"/>
          <w:szCs w:val="20"/>
          <w:lang w:eastAsia="es-CO"/>
        </w:rPr>
        <w:t>baja</w:t>
      </w:r>
      <w:r w:rsidR="00F16B4D" w:rsidRPr="00E4433C">
        <w:rPr>
          <w:noProof/>
          <w:sz w:val="20"/>
          <w:szCs w:val="20"/>
          <w:lang w:eastAsia="es-CO"/>
        </w:rPr>
        <w:t xml:space="preserve"> (</w:t>
      </w:r>
      <w:r w:rsidR="006971C6">
        <w:rPr>
          <w:noProof/>
          <w:sz w:val="20"/>
          <w:szCs w:val="20"/>
          <w:lang w:eastAsia="es-CO"/>
        </w:rPr>
        <w:t>3</w:t>
      </w:r>
      <w:r w:rsidR="00357AD4" w:rsidRPr="00E4433C">
        <w:rPr>
          <w:noProof/>
          <w:sz w:val="20"/>
          <w:szCs w:val="20"/>
          <w:lang w:eastAsia="es-CO"/>
        </w:rPr>
        <w:t>%</w:t>
      </w:r>
      <w:r w:rsidR="00F16B4D" w:rsidRPr="00E4433C">
        <w:rPr>
          <w:noProof/>
          <w:sz w:val="20"/>
          <w:szCs w:val="20"/>
          <w:lang w:eastAsia="es-CO"/>
        </w:rPr>
        <w:t>)</w:t>
      </w:r>
      <w:r w:rsidR="00613B83" w:rsidRPr="00E4433C">
        <w:rPr>
          <w:noProof/>
          <w:sz w:val="20"/>
          <w:szCs w:val="20"/>
          <w:lang w:eastAsia="es-CO"/>
        </w:rPr>
        <w:t xml:space="preserve">, </w:t>
      </w:r>
      <w:r w:rsidR="00B55334">
        <w:rPr>
          <w:noProof/>
          <w:sz w:val="20"/>
          <w:szCs w:val="20"/>
          <w:lang w:eastAsia="es-CO"/>
        </w:rPr>
        <w:t>2</w:t>
      </w:r>
      <w:r w:rsidR="00D4387A" w:rsidRPr="00E4433C">
        <w:rPr>
          <w:noProof/>
          <w:sz w:val="20"/>
          <w:szCs w:val="20"/>
          <w:lang w:eastAsia="es-CO"/>
        </w:rPr>
        <w:t xml:space="preserve"> de ellos han sido calificados con una posibilidad de pérdida media (</w:t>
      </w:r>
      <w:r w:rsidR="00C90C78">
        <w:rPr>
          <w:noProof/>
          <w:sz w:val="20"/>
          <w:szCs w:val="20"/>
          <w:lang w:eastAsia="es-CO"/>
        </w:rPr>
        <w:t>6</w:t>
      </w:r>
      <w:r w:rsidR="006971C6">
        <w:rPr>
          <w:noProof/>
          <w:sz w:val="20"/>
          <w:szCs w:val="20"/>
          <w:lang w:eastAsia="es-CO"/>
        </w:rPr>
        <w:t xml:space="preserve"> </w:t>
      </w:r>
      <w:r w:rsidR="00357AD4" w:rsidRPr="00E4433C">
        <w:rPr>
          <w:noProof/>
          <w:sz w:val="20"/>
          <w:szCs w:val="20"/>
          <w:lang w:eastAsia="es-CO"/>
        </w:rPr>
        <w:t>%</w:t>
      </w:r>
      <w:r w:rsidR="00D4387A" w:rsidRPr="00E4433C">
        <w:rPr>
          <w:noProof/>
          <w:sz w:val="20"/>
          <w:szCs w:val="20"/>
          <w:lang w:eastAsia="es-CO"/>
        </w:rPr>
        <w:t>)</w:t>
      </w:r>
      <w:r w:rsidR="00B9135D">
        <w:rPr>
          <w:noProof/>
          <w:sz w:val="20"/>
          <w:szCs w:val="20"/>
          <w:lang w:eastAsia="es-CO"/>
        </w:rPr>
        <w:t>,</w:t>
      </w:r>
      <w:r w:rsidR="00613B83" w:rsidRPr="00E4433C">
        <w:rPr>
          <w:noProof/>
          <w:sz w:val="20"/>
          <w:szCs w:val="20"/>
          <w:lang w:eastAsia="es-CO"/>
        </w:rPr>
        <w:t xml:space="preserve"> </w:t>
      </w:r>
      <w:r w:rsidR="00F16B4D" w:rsidRPr="00E4433C">
        <w:rPr>
          <w:noProof/>
          <w:sz w:val="20"/>
          <w:szCs w:val="20"/>
          <w:lang w:eastAsia="es-CO"/>
        </w:rPr>
        <w:t>y tan s</w:t>
      </w:r>
      <w:r w:rsidR="00F6393A" w:rsidRPr="00E4433C">
        <w:rPr>
          <w:noProof/>
          <w:sz w:val="20"/>
          <w:szCs w:val="20"/>
          <w:lang w:eastAsia="es-CO"/>
        </w:rPr>
        <w:t>ó</w:t>
      </w:r>
      <w:r w:rsidR="00D846F8" w:rsidRPr="00E4433C">
        <w:rPr>
          <w:noProof/>
          <w:sz w:val="20"/>
          <w:szCs w:val="20"/>
          <w:lang w:eastAsia="es-CO"/>
        </w:rPr>
        <w:t xml:space="preserve">lo </w:t>
      </w:r>
      <w:r w:rsidR="006971C6">
        <w:rPr>
          <w:noProof/>
          <w:sz w:val="20"/>
          <w:szCs w:val="20"/>
          <w:lang w:eastAsia="es-CO"/>
        </w:rPr>
        <w:t>3</w:t>
      </w:r>
      <w:r w:rsidR="00F16B4D" w:rsidRPr="00E4433C">
        <w:rPr>
          <w:noProof/>
          <w:sz w:val="20"/>
          <w:szCs w:val="20"/>
          <w:lang w:eastAsia="es-CO"/>
        </w:rPr>
        <w:t xml:space="preserve"> proceso</w:t>
      </w:r>
      <w:r w:rsidR="00D239D0">
        <w:rPr>
          <w:noProof/>
          <w:sz w:val="20"/>
          <w:szCs w:val="20"/>
          <w:lang w:eastAsia="es-CO"/>
        </w:rPr>
        <w:t>s</w:t>
      </w:r>
      <w:r w:rsidR="00F16B4D" w:rsidRPr="00E4433C">
        <w:rPr>
          <w:noProof/>
          <w:sz w:val="20"/>
          <w:szCs w:val="20"/>
          <w:lang w:eastAsia="es-CO"/>
        </w:rPr>
        <w:t xml:space="preserve"> </w:t>
      </w:r>
      <w:r w:rsidR="00C90C78">
        <w:rPr>
          <w:noProof/>
          <w:sz w:val="20"/>
          <w:szCs w:val="20"/>
          <w:lang w:eastAsia="es-CO"/>
        </w:rPr>
        <w:t>(</w:t>
      </w:r>
      <w:r w:rsidR="006971C6">
        <w:rPr>
          <w:noProof/>
          <w:sz w:val="20"/>
          <w:szCs w:val="20"/>
          <w:lang w:eastAsia="es-CO"/>
        </w:rPr>
        <w:t>9</w:t>
      </w:r>
      <w:r w:rsidR="00F16B4D" w:rsidRPr="00E4433C">
        <w:rPr>
          <w:noProof/>
          <w:sz w:val="20"/>
          <w:szCs w:val="20"/>
          <w:lang w:eastAsia="es-CO"/>
        </w:rPr>
        <w:t>%) est</w:t>
      </w:r>
      <w:r w:rsidR="00BD0072" w:rsidRPr="00E4433C">
        <w:rPr>
          <w:noProof/>
          <w:sz w:val="20"/>
          <w:szCs w:val="20"/>
          <w:lang w:eastAsia="es-CO"/>
        </w:rPr>
        <w:t>á</w:t>
      </w:r>
      <w:r w:rsidR="00D239D0">
        <w:rPr>
          <w:noProof/>
          <w:sz w:val="20"/>
          <w:szCs w:val="20"/>
          <w:lang w:eastAsia="es-CO"/>
        </w:rPr>
        <w:t>n</w:t>
      </w:r>
      <w:r w:rsidR="00F16B4D" w:rsidRPr="00E4433C">
        <w:rPr>
          <w:noProof/>
          <w:sz w:val="20"/>
          <w:szCs w:val="20"/>
          <w:lang w:eastAsia="es-CO"/>
        </w:rPr>
        <w:t xml:space="preserve"> calificado</w:t>
      </w:r>
      <w:r w:rsidR="00D239D0">
        <w:rPr>
          <w:noProof/>
          <w:sz w:val="20"/>
          <w:szCs w:val="20"/>
          <w:lang w:eastAsia="es-CO"/>
        </w:rPr>
        <w:t>s</w:t>
      </w:r>
      <w:r w:rsidR="00F16B4D" w:rsidRPr="00E4433C">
        <w:rPr>
          <w:noProof/>
          <w:sz w:val="20"/>
          <w:szCs w:val="20"/>
          <w:lang w:eastAsia="es-CO"/>
        </w:rPr>
        <w:t xml:space="preserve"> con un riesgo de pérdida </w:t>
      </w:r>
      <w:r w:rsidR="00D4387A" w:rsidRPr="00E4433C">
        <w:rPr>
          <w:noProof/>
          <w:sz w:val="20"/>
          <w:szCs w:val="20"/>
          <w:lang w:eastAsia="es-CO"/>
        </w:rPr>
        <w:t>alta</w:t>
      </w:r>
      <w:r w:rsidR="00F16B4D" w:rsidRPr="00E4433C">
        <w:rPr>
          <w:noProof/>
          <w:sz w:val="20"/>
          <w:szCs w:val="20"/>
          <w:lang w:eastAsia="es-CO"/>
        </w:rPr>
        <w:t xml:space="preserve">. </w:t>
      </w:r>
      <w:r w:rsidR="00205026" w:rsidRPr="00E4433C">
        <w:rPr>
          <w:noProof/>
          <w:sz w:val="20"/>
          <w:szCs w:val="20"/>
          <w:lang w:eastAsia="es-CO"/>
        </w:rPr>
        <w:t xml:space="preserve"> </w:t>
      </w:r>
    </w:p>
    <w:p w14:paraId="05A6788D" w14:textId="2312AC5F" w:rsidR="00FB0DF2" w:rsidRDefault="002029AE" w:rsidP="001427D8">
      <w:pPr>
        <w:pStyle w:val="Prrafodelista"/>
        <w:numPr>
          <w:ilvl w:val="0"/>
          <w:numId w:val="7"/>
        </w:numPr>
        <w:ind w:left="426"/>
        <w:jc w:val="both"/>
        <w:rPr>
          <w:noProof/>
          <w:sz w:val="20"/>
          <w:szCs w:val="20"/>
          <w:lang w:eastAsia="es-CO"/>
        </w:rPr>
      </w:pPr>
      <w:r w:rsidRPr="003F49BB">
        <w:rPr>
          <w:b/>
          <w:sz w:val="20"/>
          <w:szCs w:val="20"/>
        </w:rPr>
        <w:t xml:space="preserve">PROCESOS COMO PARTE ACTIVA: </w:t>
      </w:r>
      <w:r w:rsidR="00C03BB9" w:rsidRPr="00C03BB9">
        <w:rPr>
          <w:sz w:val="20"/>
          <w:szCs w:val="20"/>
        </w:rPr>
        <w:t xml:space="preserve">Durante el presente trimestre </w:t>
      </w:r>
      <w:r w:rsidR="00E75E67">
        <w:rPr>
          <w:sz w:val="20"/>
          <w:szCs w:val="20"/>
        </w:rPr>
        <w:t xml:space="preserve">no se iniciaron ni terminaron </w:t>
      </w:r>
      <w:r w:rsidR="00A25306">
        <w:rPr>
          <w:sz w:val="20"/>
          <w:szCs w:val="20"/>
        </w:rPr>
        <w:t>procesos por</w:t>
      </w:r>
      <w:r w:rsidR="00C90C78">
        <w:rPr>
          <w:sz w:val="20"/>
          <w:szCs w:val="20"/>
        </w:rPr>
        <w:t xml:space="preserve"> activa</w:t>
      </w:r>
      <w:r w:rsidR="00C03BB9" w:rsidRPr="00C03BB9">
        <w:rPr>
          <w:sz w:val="20"/>
          <w:szCs w:val="20"/>
        </w:rPr>
        <w:t xml:space="preserve">.  </w:t>
      </w:r>
      <w:r w:rsidR="00E4433C" w:rsidRPr="003F49BB">
        <w:rPr>
          <w:sz w:val="20"/>
          <w:szCs w:val="20"/>
        </w:rPr>
        <w:t>E</w:t>
      </w:r>
      <w:r w:rsidRPr="003F49BB">
        <w:rPr>
          <w:sz w:val="20"/>
          <w:szCs w:val="20"/>
        </w:rPr>
        <w:t xml:space="preserve">n consecuencia, existen para la entidad </w:t>
      </w:r>
      <w:r w:rsidR="00C90C78">
        <w:rPr>
          <w:sz w:val="20"/>
          <w:szCs w:val="20"/>
        </w:rPr>
        <w:t xml:space="preserve">dos </w:t>
      </w:r>
      <w:r w:rsidRPr="003F49BB">
        <w:rPr>
          <w:sz w:val="20"/>
          <w:szCs w:val="20"/>
        </w:rPr>
        <w:t>(</w:t>
      </w:r>
      <w:r w:rsidR="00C90C78">
        <w:rPr>
          <w:sz w:val="20"/>
          <w:szCs w:val="20"/>
        </w:rPr>
        <w:t>2</w:t>
      </w:r>
      <w:r w:rsidRPr="003F49BB">
        <w:rPr>
          <w:sz w:val="20"/>
          <w:szCs w:val="20"/>
        </w:rPr>
        <w:t xml:space="preserve">) procesos judiciales vigentes al corte </w:t>
      </w:r>
      <w:r w:rsidR="00F51E66" w:rsidRPr="003F49BB">
        <w:rPr>
          <w:sz w:val="20"/>
          <w:szCs w:val="20"/>
        </w:rPr>
        <w:t>del 3</w:t>
      </w:r>
      <w:r w:rsidR="006971C6">
        <w:rPr>
          <w:sz w:val="20"/>
          <w:szCs w:val="20"/>
        </w:rPr>
        <w:t>1</w:t>
      </w:r>
      <w:r w:rsidR="00C90C78">
        <w:rPr>
          <w:sz w:val="20"/>
          <w:szCs w:val="20"/>
        </w:rPr>
        <w:t xml:space="preserve"> de </w:t>
      </w:r>
      <w:r w:rsidR="006971C6">
        <w:rPr>
          <w:sz w:val="20"/>
          <w:szCs w:val="20"/>
        </w:rPr>
        <w:t>diciembre de</w:t>
      </w:r>
      <w:r w:rsidR="000D4F51" w:rsidRPr="003F49BB">
        <w:rPr>
          <w:sz w:val="20"/>
          <w:szCs w:val="20"/>
        </w:rPr>
        <w:t xml:space="preserve"> 202</w:t>
      </w:r>
      <w:r w:rsidR="003953C5">
        <w:rPr>
          <w:sz w:val="20"/>
          <w:szCs w:val="20"/>
        </w:rPr>
        <w:t>5</w:t>
      </w:r>
      <w:r w:rsidR="00D83ACA" w:rsidRPr="003F49BB">
        <w:rPr>
          <w:sz w:val="20"/>
          <w:szCs w:val="20"/>
        </w:rPr>
        <w:t xml:space="preserve"> instaurados</w:t>
      </w:r>
      <w:r w:rsidRPr="003F49BB">
        <w:rPr>
          <w:sz w:val="20"/>
          <w:szCs w:val="20"/>
        </w:rPr>
        <w:t xml:space="preserve"> por el Fondo en contra de terceros, los cuales tienen una cuantía de $</w:t>
      </w:r>
      <w:r w:rsidR="00C90C78">
        <w:rPr>
          <w:sz w:val="20"/>
          <w:szCs w:val="20"/>
        </w:rPr>
        <w:t>1.</w:t>
      </w:r>
      <w:r w:rsidR="00E11155">
        <w:rPr>
          <w:sz w:val="20"/>
          <w:szCs w:val="20"/>
        </w:rPr>
        <w:t>7</w:t>
      </w:r>
      <w:r w:rsidR="006971C6">
        <w:rPr>
          <w:sz w:val="20"/>
          <w:szCs w:val="20"/>
        </w:rPr>
        <w:t>91</w:t>
      </w:r>
      <w:r w:rsidR="00E4433C" w:rsidRPr="003F49BB">
        <w:rPr>
          <w:sz w:val="20"/>
          <w:szCs w:val="20"/>
        </w:rPr>
        <w:t xml:space="preserve"> </w:t>
      </w:r>
      <w:r w:rsidRPr="003F49BB">
        <w:rPr>
          <w:sz w:val="20"/>
          <w:szCs w:val="20"/>
        </w:rPr>
        <w:t>millones aproximadamente.</w:t>
      </w:r>
    </w:p>
    <w:p w14:paraId="3A1309DD" w14:textId="77777777" w:rsidR="00A25306" w:rsidRPr="003F49BB" w:rsidRDefault="00A25306" w:rsidP="00A25306">
      <w:pPr>
        <w:pStyle w:val="Prrafodelista"/>
        <w:ind w:left="426"/>
        <w:jc w:val="both"/>
        <w:rPr>
          <w:noProof/>
          <w:sz w:val="20"/>
          <w:szCs w:val="20"/>
          <w:lang w:eastAsia="es-CO"/>
        </w:rPr>
      </w:pPr>
    </w:p>
    <w:p w14:paraId="55DADA7D" w14:textId="6CCED32F" w:rsidR="002029AE" w:rsidRDefault="00A25306" w:rsidP="001427D8">
      <w:pPr>
        <w:pStyle w:val="Prrafodelista"/>
        <w:ind w:left="0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512991FD" wp14:editId="72DA073E">
            <wp:extent cx="3762375" cy="1914525"/>
            <wp:effectExtent l="0" t="0" r="9525" b="9525"/>
            <wp:docPr id="6099237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F5BC74E8-280F-BFDC-D4D5-6B258A4B80F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2029AE" w:rsidSect="005E73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74D80"/>
    <w:multiLevelType w:val="hybridMultilevel"/>
    <w:tmpl w:val="C7F209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5442D"/>
    <w:multiLevelType w:val="hybridMultilevel"/>
    <w:tmpl w:val="21C86A6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63D06"/>
    <w:multiLevelType w:val="hybridMultilevel"/>
    <w:tmpl w:val="1B1A0EB8"/>
    <w:lvl w:ilvl="0" w:tplc="0D92FE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66EC8"/>
    <w:multiLevelType w:val="hybridMultilevel"/>
    <w:tmpl w:val="4C12CF42"/>
    <w:lvl w:ilvl="0" w:tplc="A5AAFD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34617"/>
    <w:multiLevelType w:val="hybridMultilevel"/>
    <w:tmpl w:val="4250659E"/>
    <w:lvl w:ilvl="0" w:tplc="B6DEF2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4B294A"/>
    <w:multiLevelType w:val="hybridMultilevel"/>
    <w:tmpl w:val="F696718A"/>
    <w:lvl w:ilvl="0" w:tplc="12C68C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048B3"/>
    <w:multiLevelType w:val="hybridMultilevel"/>
    <w:tmpl w:val="EC8E8F60"/>
    <w:lvl w:ilvl="0" w:tplc="47865D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761688">
    <w:abstractNumId w:val="1"/>
  </w:num>
  <w:num w:numId="2" w16cid:durableId="23528419">
    <w:abstractNumId w:val="6"/>
  </w:num>
  <w:num w:numId="3" w16cid:durableId="538856891">
    <w:abstractNumId w:val="0"/>
  </w:num>
  <w:num w:numId="4" w16cid:durableId="902065175">
    <w:abstractNumId w:val="5"/>
  </w:num>
  <w:num w:numId="5" w16cid:durableId="720712040">
    <w:abstractNumId w:val="4"/>
  </w:num>
  <w:num w:numId="6" w16cid:durableId="1444416818">
    <w:abstractNumId w:val="2"/>
  </w:num>
  <w:num w:numId="7" w16cid:durableId="18761192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450"/>
    <w:rsid w:val="000203E9"/>
    <w:rsid w:val="00031E16"/>
    <w:rsid w:val="00041EC4"/>
    <w:rsid w:val="00047E15"/>
    <w:rsid w:val="000558F6"/>
    <w:rsid w:val="00061188"/>
    <w:rsid w:val="00064114"/>
    <w:rsid w:val="00066C0F"/>
    <w:rsid w:val="00086908"/>
    <w:rsid w:val="00087E2C"/>
    <w:rsid w:val="000B231E"/>
    <w:rsid w:val="000C0E03"/>
    <w:rsid w:val="000D35EB"/>
    <w:rsid w:val="000D4F51"/>
    <w:rsid w:val="000E0712"/>
    <w:rsid w:val="000F3AC7"/>
    <w:rsid w:val="00105DC2"/>
    <w:rsid w:val="001064AA"/>
    <w:rsid w:val="00110611"/>
    <w:rsid w:val="00111C8F"/>
    <w:rsid w:val="00117745"/>
    <w:rsid w:val="0012075E"/>
    <w:rsid w:val="001260A8"/>
    <w:rsid w:val="00130EFF"/>
    <w:rsid w:val="001427D8"/>
    <w:rsid w:val="00142921"/>
    <w:rsid w:val="00143330"/>
    <w:rsid w:val="00144B49"/>
    <w:rsid w:val="00166457"/>
    <w:rsid w:val="001860A0"/>
    <w:rsid w:val="0019446B"/>
    <w:rsid w:val="001951AB"/>
    <w:rsid w:val="001A7714"/>
    <w:rsid w:val="001D6DA9"/>
    <w:rsid w:val="002029AE"/>
    <w:rsid w:val="00205026"/>
    <w:rsid w:val="00214E1B"/>
    <w:rsid w:val="002236DF"/>
    <w:rsid w:val="00233A90"/>
    <w:rsid w:val="002417F3"/>
    <w:rsid w:val="002536BC"/>
    <w:rsid w:val="002540A3"/>
    <w:rsid w:val="0027592B"/>
    <w:rsid w:val="00283DDD"/>
    <w:rsid w:val="00284C0E"/>
    <w:rsid w:val="002956AE"/>
    <w:rsid w:val="002A1B48"/>
    <w:rsid w:val="002A5766"/>
    <w:rsid w:val="002B0D0F"/>
    <w:rsid w:val="002E73B8"/>
    <w:rsid w:val="002F72AD"/>
    <w:rsid w:val="00301201"/>
    <w:rsid w:val="00303493"/>
    <w:rsid w:val="00321DEB"/>
    <w:rsid w:val="003230E6"/>
    <w:rsid w:val="003346E2"/>
    <w:rsid w:val="00341FBE"/>
    <w:rsid w:val="00356516"/>
    <w:rsid w:val="00357AD4"/>
    <w:rsid w:val="00366D64"/>
    <w:rsid w:val="00370C11"/>
    <w:rsid w:val="00374D91"/>
    <w:rsid w:val="0038013B"/>
    <w:rsid w:val="00381732"/>
    <w:rsid w:val="00384941"/>
    <w:rsid w:val="00385CFD"/>
    <w:rsid w:val="003953C5"/>
    <w:rsid w:val="003F49BB"/>
    <w:rsid w:val="003F6A2A"/>
    <w:rsid w:val="00402396"/>
    <w:rsid w:val="00402515"/>
    <w:rsid w:val="00414D2F"/>
    <w:rsid w:val="004151EC"/>
    <w:rsid w:val="004241F0"/>
    <w:rsid w:val="00424BF1"/>
    <w:rsid w:val="00457A0D"/>
    <w:rsid w:val="0047062D"/>
    <w:rsid w:val="004B5952"/>
    <w:rsid w:val="004D27A9"/>
    <w:rsid w:val="004E704F"/>
    <w:rsid w:val="004F3A05"/>
    <w:rsid w:val="004F4E53"/>
    <w:rsid w:val="004F4FAC"/>
    <w:rsid w:val="004F7859"/>
    <w:rsid w:val="00504B66"/>
    <w:rsid w:val="0051283E"/>
    <w:rsid w:val="0051755B"/>
    <w:rsid w:val="00533BC0"/>
    <w:rsid w:val="00557C9C"/>
    <w:rsid w:val="00575C94"/>
    <w:rsid w:val="005C57BE"/>
    <w:rsid w:val="005E225E"/>
    <w:rsid w:val="005E4B9A"/>
    <w:rsid w:val="005E7366"/>
    <w:rsid w:val="005F6379"/>
    <w:rsid w:val="00613B83"/>
    <w:rsid w:val="00621D20"/>
    <w:rsid w:val="00623C16"/>
    <w:rsid w:val="00647D26"/>
    <w:rsid w:val="0065013B"/>
    <w:rsid w:val="006971C6"/>
    <w:rsid w:val="006A67E5"/>
    <w:rsid w:val="006B0249"/>
    <w:rsid w:val="006B4A5A"/>
    <w:rsid w:val="006B6270"/>
    <w:rsid w:val="006C3230"/>
    <w:rsid w:val="006C4E46"/>
    <w:rsid w:val="006C5BDB"/>
    <w:rsid w:val="006E4633"/>
    <w:rsid w:val="006F5033"/>
    <w:rsid w:val="006F656A"/>
    <w:rsid w:val="00714587"/>
    <w:rsid w:val="00715C0C"/>
    <w:rsid w:val="00717FD0"/>
    <w:rsid w:val="00726595"/>
    <w:rsid w:val="007471C3"/>
    <w:rsid w:val="00760EEA"/>
    <w:rsid w:val="00763D24"/>
    <w:rsid w:val="00772304"/>
    <w:rsid w:val="00777F8B"/>
    <w:rsid w:val="00782E64"/>
    <w:rsid w:val="0079273C"/>
    <w:rsid w:val="007A123B"/>
    <w:rsid w:val="007A20B0"/>
    <w:rsid w:val="007A6ADA"/>
    <w:rsid w:val="007B1C5E"/>
    <w:rsid w:val="007B4075"/>
    <w:rsid w:val="007D0B33"/>
    <w:rsid w:val="007D1481"/>
    <w:rsid w:val="007D2F0C"/>
    <w:rsid w:val="007D50AE"/>
    <w:rsid w:val="007E794F"/>
    <w:rsid w:val="007F0133"/>
    <w:rsid w:val="007F271D"/>
    <w:rsid w:val="008110AA"/>
    <w:rsid w:val="00816641"/>
    <w:rsid w:val="008222F1"/>
    <w:rsid w:val="0083418A"/>
    <w:rsid w:val="00860842"/>
    <w:rsid w:val="0086791F"/>
    <w:rsid w:val="0087541D"/>
    <w:rsid w:val="008820AD"/>
    <w:rsid w:val="0088520E"/>
    <w:rsid w:val="008A1FC1"/>
    <w:rsid w:val="008A6B4B"/>
    <w:rsid w:val="008D4131"/>
    <w:rsid w:val="008E5850"/>
    <w:rsid w:val="008F67B2"/>
    <w:rsid w:val="00915790"/>
    <w:rsid w:val="00917F73"/>
    <w:rsid w:val="00920C2E"/>
    <w:rsid w:val="009250EF"/>
    <w:rsid w:val="0094031C"/>
    <w:rsid w:val="00947125"/>
    <w:rsid w:val="00950413"/>
    <w:rsid w:val="0095423F"/>
    <w:rsid w:val="0095524F"/>
    <w:rsid w:val="009558FF"/>
    <w:rsid w:val="009668B0"/>
    <w:rsid w:val="00976AD3"/>
    <w:rsid w:val="00980A61"/>
    <w:rsid w:val="0098240E"/>
    <w:rsid w:val="00984CAD"/>
    <w:rsid w:val="009B37C3"/>
    <w:rsid w:val="009C5510"/>
    <w:rsid w:val="009E1451"/>
    <w:rsid w:val="00A03CAE"/>
    <w:rsid w:val="00A120C0"/>
    <w:rsid w:val="00A17D17"/>
    <w:rsid w:val="00A2250B"/>
    <w:rsid w:val="00A23496"/>
    <w:rsid w:val="00A25306"/>
    <w:rsid w:val="00A351E7"/>
    <w:rsid w:val="00A45925"/>
    <w:rsid w:val="00A611F1"/>
    <w:rsid w:val="00A62231"/>
    <w:rsid w:val="00A70F43"/>
    <w:rsid w:val="00A911A5"/>
    <w:rsid w:val="00A94CB0"/>
    <w:rsid w:val="00AA14CA"/>
    <w:rsid w:val="00AA2580"/>
    <w:rsid w:val="00AB630F"/>
    <w:rsid w:val="00AC59B3"/>
    <w:rsid w:val="00AD6891"/>
    <w:rsid w:val="00AE60C2"/>
    <w:rsid w:val="00AF42E1"/>
    <w:rsid w:val="00B032A2"/>
    <w:rsid w:val="00B22966"/>
    <w:rsid w:val="00B41C9F"/>
    <w:rsid w:val="00B55334"/>
    <w:rsid w:val="00B56B95"/>
    <w:rsid w:val="00B57FC7"/>
    <w:rsid w:val="00B67E8A"/>
    <w:rsid w:val="00B7502F"/>
    <w:rsid w:val="00B875B0"/>
    <w:rsid w:val="00B9135D"/>
    <w:rsid w:val="00B96A6B"/>
    <w:rsid w:val="00BA15AD"/>
    <w:rsid w:val="00BB4704"/>
    <w:rsid w:val="00BD0072"/>
    <w:rsid w:val="00BE3F69"/>
    <w:rsid w:val="00BE43DF"/>
    <w:rsid w:val="00BF6AF2"/>
    <w:rsid w:val="00C0116A"/>
    <w:rsid w:val="00C03BB9"/>
    <w:rsid w:val="00C3289F"/>
    <w:rsid w:val="00C53B1B"/>
    <w:rsid w:val="00C90315"/>
    <w:rsid w:val="00C90C78"/>
    <w:rsid w:val="00C93032"/>
    <w:rsid w:val="00C970BF"/>
    <w:rsid w:val="00CA223F"/>
    <w:rsid w:val="00CA2E99"/>
    <w:rsid w:val="00CA52D7"/>
    <w:rsid w:val="00CA6F97"/>
    <w:rsid w:val="00CB3720"/>
    <w:rsid w:val="00CD0D3A"/>
    <w:rsid w:val="00CD4F2C"/>
    <w:rsid w:val="00CE1DAC"/>
    <w:rsid w:val="00D05ABC"/>
    <w:rsid w:val="00D178BE"/>
    <w:rsid w:val="00D22A60"/>
    <w:rsid w:val="00D239D0"/>
    <w:rsid w:val="00D34194"/>
    <w:rsid w:val="00D37AE9"/>
    <w:rsid w:val="00D4387A"/>
    <w:rsid w:val="00D83ACA"/>
    <w:rsid w:val="00D841C5"/>
    <w:rsid w:val="00D846F8"/>
    <w:rsid w:val="00D93450"/>
    <w:rsid w:val="00D939CB"/>
    <w:rsid w:val="00DB5B7F"/>
    <w:rsid w:val="00DB7086"/>
    <w:rsid w:val="00DC6844"/>
    <w:rsid w:val="00DE1EF7"/>
    <w:rsid w:val="00DE48F7"/>
    <w:rsid w:val="00DE5187"/>
    <w:rsid w:val="00DF29DF"/>
    <w:rsid w:val="00E11155"/>
    <w:rsid w:val="00E31AE6"/>
    <w:rsid w:val="00E346F7"/>
    <w:rsid w:val="00E4433C"/>
    <w:rsid w:val="00E53A68"/>
    <w:rsid w:val="00E66820"/>
    <w:rsid w:val="00E73418"/>
    <w:rsid w:val="00E75E42"/>
    <w:rsid w:val="00E75E67"/>
    <w:rsid w:val="00E9081C"/>
    <w:rsid w:val="00E92D80"/>
    <w:rsid w:val="00EB002E"/>
    <w:rsid w:val="00EB5E41"/>
    <w:rsid w:val="00ED12D5"/>
    <w:rsid w:val="00F043CA"/>
    <w:rsid w:val="00F124EA"/>
    <w:rsid w:val="00F14B76"/>
    <w:rsid w:val="00F16B4D"/>
    <w:rsid w:val="00F20ADE"/>
    <w:rsid w:val="00F21931"/>
    <w:rsid w:val="00F34BDE"/>
    <w:rsid w:val="00F50D81"/>
    <w:rsid w:val="00F51E66"/>
    <w:rsid w:val="00F538CB"/>
    <w:rsid w:val="00F56646"/>
    <w:rsid w:val="00F6393A"/>
    <w:rsid w:val="00F66116"/>
    <w:rsid w:val="00F706EC"/>
    <w:rsid w:val="00F769BD"/>
    <w:rsid w:val="00F82895"/>
    <w:rsid w:val="00FA3898"/>
    <w:rsid w:val="00FB0DF2"/>
    <w:rsid w:val="00FB592A"/>
    <w:rsid w:val="00FB683F"/>
    <w:rsid w:val="00FC6947"/>
    <w:rsid w:val="00FD6A17"/>
    <w:rsid w:val="00FD7FDE"/>
    <w:rsid w:val="00FE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DE869F"/>
  <w15:docId w15:val="{C4D44B5F-2D72-417A-904E-1A213E0B4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80A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E6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0C2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6C4E4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C4E4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C4E4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4E4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4E46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341F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chaves.F0GAFIN\Documents\CUADRO%20PARA%20SACAR%20INFORME%20TRIMESTRAL%20GOBIERNO%20EN%20LINEA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haves.F0GAFIN\Documents\CUADRO%20PARA%20SACAR%20INFORME%20TRIMESTRAL%20GOBIERNO%20EN%20LINEA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4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1-196B-443B-8BD7-4BEA0F9F7A28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3-196B-443B-8BD7-4BEA0F9F7A28}"/>
              </c:ext>
            </c:extLst>
          </c:dPt>
          <c:dLbls>
            <c:dLbl>
              <c:idx val="0"/>
              <c:layout>
                <c:manualLayout>
                  <c:x val="-5.7845263919016629E-3"/>
                  <c:y val="7.9129574678536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196B-443B-8BD7-4BEA0F9F7A28}"/>
                </c:ext>
              </c:extLst>
            </c:dLbl>
            <c:dLbl>
              <c:idx val="2"/>
              <c:layout>
                <c:manualLayout>
                  <c:x val="5.7845263919016629E-3"/>
                  <c:y val="7.634234995073565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196B-443B-8BD7-4BEA0F9F7A28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34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196B-443B-8BD7-4BEA0F9F7A2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Hoja1!$A$32:$A$35</c:f>
              <c:strCache>
                <c:ptCount val="4"/>
                <c:pt idx="0">
                  <c:v>Corte anterior</c:v>
                </c:pt>
                <c:pt idx="1">
                  <c:v>Nuevos </c:v>
                </c:pt>
                <c:pt idx="2">
                  <c:v>Terminados</c:v>
                </c:pt>
                <c:pt idx="3">
                  <c:v>Total Procesos</c:v>
                </c:pt>
              </c:strCache>
            </c:strRef>
          </c:cat>
          <c:val>
            <c:numRef>
              <c:f>Hoja1!$B$32:$B$35</c:f>
              <c:numCache>
                <c:formatCode>General</c:formatCode>
                <c:ptCount val="4"/>
                <c:pt idx="0">
                  <c:v>34</c:v>
                </c:pt>
                <c:pt idx="1">
                  <c:v>3</c:v>
                </c:pt>
                <c:pt idx="2">
                  <c:v>3</c:v>
                </c:pt>
                <c:pt idx="3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96B-443B-8BD7-4BEA0F9F7A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46575688"/>
        <c:axId val="246580168"/>
        <c:axId val="0"/>
      </c:bar3DChart>
      <c:catAx>
        <c:axId val="2465756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s-CO"/>
          </a:p>
        </c:txPr>
        <c:crossAx val="246580168"/>
        <c:crosses val="autoZero"/>
        <c:auto val="1"/>
        <c:lblAlgn val="ctr"/>
        <c:lblOffset val="100"/>
        <c:noMultiLvlLbl val="0"/>
      </c:catAx>
      <c:valAx>
        <c:axId val="2465801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465756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4553149606299209E-2"/>
          <c:y val="2.5428331875182269E-2"/>
          <c:w val="0.89655796150481193"/>
          <c:h val="0.8416746864975212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Hoja1!$A$62:$A$65</c:f>
              <c:strCache>
                <c:ptCount val="4"/>
                <c:pt idx="0">
                  <c:v>Corte anterior</c:v>
                </c:pt>
                <c:pt idx="1">
                  <c:v>Terminados</c:v>
                </c:pt>
                <c:pt idx="2">
                  <c:v>Nuevos</c:v>
                </c:pt>
                <c:pt idx="3">
                  <c:v>Total Procesos</c:v>
                </c:pt>
              </c:strCache>
            </c:strRef>
          </c:cat>
          <c:val>
            <c:numRef>
              <c:f>Hoja1!$B$62:$B$65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75A-40D9-A78A-50CE9D17D1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00019263"/>
        <c:axId val="800021663"/>
        <c:axId val="0"/>
      </c:bar3DChart>
      <c:catAx>
        <c:axId val="8000192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800021663"/>
        <c:crosses val="autoZero"/>
        <c:auto val="1"/>
        <c:lblAlgn val="ctr"/>
        <c:lblOffset val="100"/>
        <c:noMultiLvlLbl val="0"/>
      </c:catAx>
      <c:valAx>
        <c:axId val="8000216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80001926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0.21563</cdr:x>
      <cdr:y>0.31771</cdr:y>
    </cdr:from>
    <cdr:to>
      <cdr:x>0.25521</cdr:x>
      <cdr:y>0.38021</cdr:y>
    </cdr:to>
    <cdr:sp macro="" textlink="">
      <cdr:nvSpPr>
        <cdr:cNvPr id="2" name="CuadroTexto 1">
          <a:extLst xmlns:a="http://schemas.openxmlformats.org/drawingml/2006/main">
            <a:ext uri="{FF2B5EF4-FFF2-40B4-BE49-F238E27FC236}">
              <a16:creationId xmlns:a16="http://schemas.microsoft.com/office/drawing/2014/main" id="{6BAE531E-6778-A5F0-043A-3A3EBA907F8F}"/>
            </a:ext>
          </a:extLst>
        </cdr:cNvPr>
        <cdr:cNvSpPr txBox="1"/>
      </cdr:nvSpPr>
      <cdr:spPr>
        <a:xfrm xmlns:a="http://schemas.openxmlformats.org/drawingml/2006/main">
          <a:off x="985838" y="871538"/>
          <a:ext cx="1809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s-CO" sz="1100"/>
        </a:p>
      </cdr:txBody>
    </cdr:sp>
  </cdr:relSizeAnchor>
  <cdr:relSizeAnchor xmlns:cdr="http://schemas.openxmlformats.org/drawingml/2006/chartDrawing">
    <cdr:from>
      <cdr:x>0.19688</cdr:x>
      <cdr:y>0.30382</cdr:y>
    </cdr:from>
    <cdr:to>
      <cdr:x>0.39688</cdr:x>
      <cdr:y>0.63715</cdr:y>
    </cdr:to>
    <cdr:sp macro="" textlink="">
      <cdr:nvSpPr>
        <cdr:cNvPr id="3" name="CuadroTexto 2">
          <a:extLst xmlns:a="http://schemas.openxmlformats.org/drawingml/2006/main">
            <a:ext uri="{FF2B5EF4-FFF2-40B4-BE49-F238E27FC236}">
              <a16:creationId xmlns:a16="http://schemas.microsoft.com/office/drawing/2014/main" id="{F5B77C7A-CC44-0873-AF54-527CD4A8217A}"/>
            </a:ext>
          </a:extLst>
        </cdr:cNvPr>
        <cdr:cNvSpPr txBox="1"/>
      </cdr:nvSpPr>
      <cdr:spPr>
        <a:xfrm xmlns:a="http://schemas.openxmlformats.org/drawingml/2006/main">
          <a:off x="900113" y="833438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s-CO" sz="1100"/>
        </a:p>
      </cdr:txBody>
    </cdr:sp>
  </cdr:relSizeAnchor>
  <cdr:relSizeAnchor xmlns:cdr="http://schemas.openxmlformats.org/drawingml/2006/chartDrawing">
    <cdr:from>
      <cdr:x>0.36979</cdr:x>
      <cdr:y>0.64757</cdr:y>
    </cdr:from>
    <cdr:to>
      <cdr:x>0.42396</cdr:x>
      <cdr:y>0.74479</cdr:y>
    </cdr:to>
    <cdr:sp macro="" textlink="">
      <cdr:nvSpPr>
        <cdr:cNvPr id="4" name="CuadroTexto 3">
          <a:extLst xmlns:a="http://schemas.openxmlformats.org/drawingml/2006/main">
            <a:ext uri="{FF2B5EF4-FFF2-40B4-BE49-F238E27FC236}">
              <a16:creationId xmlns:a16="http://schemas.microsoft.com/office/drawing/2014/main" id="{50CCF86D-5C46-63DE-9F1B-460E4B5AF8D8}"/>
            </a:ext>
          </a:extLst>
        </cdr:cNvPr>
        <cdr:cNvSpPr txBox="1"/>
      </cdr:nvSpPr>
      <cdr:spPr>
        <a:xfrm xmlns:a="http://schemas.openxmlformats.org/drawingml/2006/main">
          <a:off x="1690680" y="1776426"/>
          <a:ext cx="247658" cy="26668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marL="0" indent="0"/>
          <a:endParaRPr lang="es-CO" sz="1100" b="1">
            <a:solidFill>
              <a:schemeClr val="bg1"/>
            </a:solidFill>
            <a:latin typeface="+mn-lt"/>
            <a:ea typeface="+mn-ea"/>
            <a:cs typeface="+mn-cs"/>
          </a:endParaRPr>
        </a:p>
      </cdr:txBody>
    </cdr:sp>
  </cdr:relSizeAnchor>
  <cdr:relSizeAnchor xmlns:cdr="http://schemas.openxmlformats.org/drawingml/2006/chartDrawing">
    <cdr:from>
      <cdr:x>0.59107</cdr:x>
      <cdr:y>0.62108</cdr:y>
    </cdr:from>
    <cdr:to>
      <cdr:x>0.62857</cdr:x>
      <cdr:y>0.74956</cdr:y>
    </cdr:to>
    <cdr:sp macro="" textlink="">
      <cdr:nvSpPr>
        <cdr:cNvPr id="5" name="CuadroTexto 4">
          <a:extLst xmlns:a="http://schemas.openxmlformats.org/drawingml/2006/main">
            <a:ext uri="{FF2B5EF4-FFF2-40B4-BE49-F238E27FC236}">
              <a16:creationId xmlns:a16="http://schemas.microsoft.com/office/drawing/2014/main" id="{F2E94506-9451-C370-6A0A-046D8D118742}"/>
            </a:ext>
          </a:extLst>
        </cdr:cNvPr>
        <cdr:cNvSpPr txBox="1"/>
      </cdr:nvSpPr>
      <cdr:spPr>
        <a:xfrm xmlns:a="http://schemas.openxmlformats.org/drawingml/2006/main">
          <a:off x="2223833" y="1189080"/>
          <a:ext cx="141089" cy="24597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s-CO" sz="1100" b="1"/>
            <a:t>0</a:t>
          </a:r>
        </a:p>
      </cdr:txBody>
    </cdr:sp>
  </cdr:relSizeAnchor>
  <cdr:relSizeAnchor xmlns:cdr="http://schemas.openxmlformats.org/drawingml/2006/chartDrawing">
    <cdr:from>
      <cdr:x>0.76042</cdr:x>
      <cdr:y>0.38021</cdr:y>
    </cdr:from>
    <cdr:to>
      <cdr:x>0.87813</cdr:x>
      <cdr:y>0.49827</cdr:y>
    </cdr:to>
    <cdr:sp macro="" textlink="">
      <cdr:nvSpPr>
        <cdr:cNvPr id="6" name="CuadroTexto 5">
          <a:extLst xmlns:a="http://schemas.openxmlformats.org/drawingml/2006/main">
            <a:ext uri="{FF2B5EF4-FFF2-40B4-BE49-F238E27FC236}">
              <a16:creationId xmlns:a16="http://schemas.microsoft.com/office/drawing/2014/main" id="{197620AD-C68B-9899-004F-6D24067A504F}"/>
            </a:ext>
          </a:extLst>
        </cdr:cNvPr>
        <cdr:cNvSpPr txBox="1"/>
      </cdr:nvSpPr>
      <cdr:spPr>
        <a:xfrm xmlns:a="http://schemas.openxmlformats.org/drawingml/2006/main">
          <a:off x="3476625" y="1042980"/>
          <a:ext cx="538170" cy="32386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marL="0" indent="0"/>
          <a:endParaRPr lang="es-CO" sz="1100" b="1">
            <a:solidFill>
              <a:schemeClr val="bg1"/>
            </a:solidFill>
            <a:latin typeface="+mn-lt"/>
            <a:ea typeface="+mn-ea"/>
            <a:cs typeface="+mn-cs"/>
          </a:endParaRPr>
        </a:p>
      </cdr:txBody>
    </cdr:sp>
  </cdr:relSizeAnchor>
  <cdr:relSizeAnchor xmlns:cdr="http://schemas.openxmlformats.org/drawingml/2006/chartDrawing">
    <cdr:from>
      <cdr:x>0.17604</cdr:x>
      <cdr:y>0.25868</cdr:y>
    </cdr:from>
    <cdr:to>
      <cdr:x>0.2802</cdr:x>
      <cdr:y>0.35242</cdr:y>
    </cdr:to>
    <cdr:sp macro="" textlink="">
      <cdr:nvSpPr>
        <cdr:cNvPr id="7" name="CuadroTexto 6">
          <a:extLst xmlns:a="http://schemas.openxmlformats.org/drawingml/2006/main">
            <a:ext uri="{FF2B5EF4-FFF2-40B4-BE49-F238E27FC236}">
              <a16:creationId xmlns:a16="http://schemas.microsoft.com/office/drawing/2014/main" id="{44488478-8DC2-A52C-A7AA-C1B852D10EBF}"/>
            </a:ext>
          </a:extLst>
        </cdr:cNvPr>
        <cdr:cNvSpPr txBox="1"/>
      </cdr:nvSpPr>
      <cdr:spPr>
        <a:xfrm xmlns:a="http://schemas.openxmlformats.org/drawingml/2006/main">
          <a:off x="804855" y="709611"/>
          <a:ext cx="476219" cy="2571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s-CO" sz="1100" b="1">
              <a:solidFill>
                <a:schemeClr val="bg1"/>
              </a:solidFill>
            </a:rPr>
            <a:t>2</a:t>
          </a:r>
        </a:p>
      </cdr:txBody>
    </cdr:sp>
  </cdr:relSizeAnchor>
  <cdr:relSizeAnchor xmlns:cdr="http://schemas.openxmlformats.org/drawingml/2006/chartDrawing">
    <cdr:from>
      <cdr:x>0.39076</cdr:x>
      <cdr:y>0.61194</cdr:y>
    </cdr:from>
    <cdr:to>
      <cdr:x>0.59076</cdr:x>
      <cdr:y>0.94527</cdr:y>
    </cdr:to>
    <cdr:sp macro="" textlink="">
      <cdr:nvSpPr>
        <cdr:cNvPr id="8" name="CuadroTexto 7">
          <a:extLst xmlns:a="http://schemas.openxmlformats.org/drawingml/2006/main">
            <a:ext uri="{FF2B5EF4-FFF2-40B4-BE49-F238E27FC236}">
              <a16:creationId xmlns:a16="http://schemas.microsoft.com/office/drawing/2014/main" id="{57C12720-DF74-3384-EE78-409708829FDD}"/>
            </a:ext>
          </a:extLst>
        </cdr:cNvPr>
        <cdr:cNvSpPr txBox="1"/>
      </cdr:nvSpPr>
      <cdr:spPr>
        <a:xfrm xmlns:a="http://schemas.openxmlformats.org/drawingml/2006/main">
          <a:off x="1470168" y="1171581"/>
          <a:ext cx="752475" cy="63816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s-CO" sz="1100" b="1" kern="1200"/>
            <a:t>0</a:t>
          </a:r>
        </a:p>
      </cdr:txBody>
    </cdr:sp>
  </cdr:relSizeAnchor>
  <cdr:relSizeAnchor xmlns:cdr="http://schemas.openxmlformats.org/drawingml/2006/chartDrawing">
    <cdr:from>
      <cdr:x>0.76979</cdr:x>
      <cdr:y>0.2934</cdr:y>
    </cdr:from>
    <cdr:to>
      <cdr:x>0.82278</cdr:x>
      <cdr:y>0.41791</cdr:y>
    </cdr:to>
    <cdr:sp macro="" textlink="">
      <cdr:nvSpPr>
        <cdr:cNvPr id="9" name="CuadroTexto 8">
          <a:extLst xmlns:a="http://schemas.openxmlformats.org/drawingml/2006/main">
            <a:ext uri="{FF2B5EF4-FFF2-40B4-BE49-F238E27FC236}">
              <a16:creationId xmlns:a16="http://schemas.microsoft.com/office/drawing/2014/main" id="{0B1278EB-961B-48D4-C625-F8EC3171C604}"/>
            </a:ext>
          </a:extLst>
        </cdr:cNvPr>
        <cdr:cNvSpPr txBox="1"/>
      </cdr:nvSpPr>
      <cdr:spPr>
        <a:xfrm xmlns:a="http://schemas.openxmlformats.org/drawingml/2006/main">
          <a:off x="2896239" y="561722"/>
          <a:ext cx="199386" cy="23837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s-CO" sz="1100" b="1" kern="1200">
              <a:solidFill>
                <a:schemeClr val="bg1"/>
              </a:solidFill>
            </a:rPr>
            <a:t>2</a:t>
          </a:r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247</Words>
  <Characters>1270</Characters>
  <Application>Microsoft Office Word</Application>
  <DocSecurity>0</DocSecurity>
  <Lines>26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FOGAFIN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Fernanda Chaves Muñoz</dc:creator>
  <cp:lastModifiedBy>FONDO DE GARANTIAS DE INSTITUCIONES FINANCIERAS</cp:lastModifiedBy>
  <cp:revision>4</cp:revision>
  <cp:lastPrinted>2022-10-06T14:25:00Z</cp:lastPrinted>
  <dcterms:created xsi:type="dcterms:W3CDTF">2026-01-05T20:09:00Z</dcterms:created>
  <dcterms:modified xsi:type="dcterms:W3CDTF">2026-01-05T22:25:00Z</dcterms:modified>
</cp:coreProperties>
</file>