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DBFDC" w14:textId="77777777" w:rsidR="00476715" w:rsidRPr="009A30D9" w:rsidRDefault="00D15797" w:rsidP="00C507D9">
      <w:pPr>
        <w:tabs>
          <w:tab w:val="left" w:pos="7065"/>
        </w:tabs>
        <w:rPr>
          <w:rFonts w:ascii="Arial" w:hAnsi="Arial" w:cs="Arial"/>
        </w:rPr>
      </w:pPr>
      <w:r w:rsidRPr="009A30D9">
        <w:rPr>
          <w:rFonts w:ascii="Arial" w:hAnsi="Arial" w:cs="Arial"/>
        </w:rPr>
        <w:tab/>
      </w:r>
    </w:p>
    <w:p w14:paraId="7AB08678" w14:textId="67F1EBEF" w:rsidR="001A639A" w:rsidRPr="009A30D9" w:rsidRDefault="001A639A" w:rsidP="00C507D9">
      <w:pPr>
        <w:jc w:val="center"/>
        <w:rPr>
          <w:rFonts w:ascii="Arial" w:hAnsi="Arial" w:cs="Arial"/>
          <w:b/>
        </w:rPr>
      </w:pPr>
      <w:r w:rsidRPr="009A30D9">
        <w:rPr>
          <w:rFonts w:ascii="Arial" w:hAnsi="Arial" w:cs="Arial"/>
          <w:b/>
        </w:rPr>
        <w:t xml:space="preserve">CIRCULAR </w:t>
      </w:r>
      <w:r w:rsidR="00022FB9">
        <w:rPr>
          <w:rFonts w:ascii="Arial" w:hAnsi="Arial" w:cs="Arial"/>
          <w:b/>
        </w:rPr>
        <w:t>EXTERNA</w:t>
      </w:r>
    </w:p>
    <w:p w14:paraId="61239557" w14:textId="77777777" w:rsidR="001A639A" w:rsidRPr="009A30D9" w:rsidRDefault="001A639A" w:rsidP="00C507D9">
      <w:pPr>
        <w:jc w:val="center"/>
        <w:rPr>
          <w:rFonts w:ascii="Arial" w:hAnsi="Arial" w:cs="Arial"/>
          <w:b/>
        </w:rPr>
      </w:pPr>
    </w:p>
    <w:bookmarkStart w:id="0" w:name="Texto1"/>
    <w:p w14:paraId="2D250C3D" w14:textId="11F3670D" w:rsidR="001A639A" w:rsidRPr="00784FD7" w:rsidRDefault="001A639A" w:rsidP="00C507D9">
      <w:pPr>
        <w:jc w:val="center"/>
        <w:rPr>
          <w:rFonts w:ascii="Arial" w:hAnsi="Arial" w:cs="Arial"/>
          <w:b/>
        </w:rPr>
      </w:pPr>
      <w:r w:rsidRPr="00784FD7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>
              <w:default w:val="000"/>
            </w:textInput>
          </w:ffData>
        </w:fldChar>
      </w:r>
      <w:r w:rsidRPr="00784FD7">
        <w:rPr>
          <w:rFonts w:ascii="Arial" w:hAnsi="Arial" w:cs="Arial"/>
          <w:b/>
        </w:rPr>
        <w:instrText xml:space="preserve"> FORMTEXT </w:instrText>
      </w:r>
      <w:r w:rsidRPr="00784FD7">
        <w:rPr>
          <w:rFonts w:ascii="Arial" w:hAnsi="Arial" w:cs="Arial"/>
          <w:b/>
        </w:rPr>
      </w:r>
      <w:r w:rsidRPr="00784FD7">
        <w:rPr>
          <w:rFonts w:ascii="Arial" w:hAnsi="Arial" w:cs="Arial"/>
          <w:b/>
        </w:rPr>
        <w:fldChar w:fldCharType="separate"/>
      </w:r>
      <w:r w:rsidRPr="00784FD7">
        <w:rPr>
          <w:rFonts w:ascii="Arial" w:hAnsi="Arial" w:cs="Arial"/>
          <w:b/>
        </w:rPr>
        <w:t>000</w:t>
      </w:r>
      <w:r w:rsidRPr="00784FD7">
        <w:rPr>
          <w:rFonts w:ascii="Arial" w:hAnsi="Arial" w:cs="Arial"/>
          <w:b/>
        </w:rPr>
        <w:fldChar w:fldCharType="end"/>
      </w:r>
      <w:bookmarkEnd w:id="0"/>
    </w:p>
    <w:p w14:paraId="01534DA4" w14:textId="77777777" w:rsidR="001A639A" w:rsidRPr="009A30D9" w:rsidRDefault="001A639A" w:rsidP="00C507D9">
      <w:pPr>
        <w:jc w:val="both"/>
        <w:rPr>
          <w:rFonts w:ascii="Arial" w:hAnsi="Arial" w:cs="Arial"/>
        </w:rPr>
      </w:pPr>
    </w:p>
    <w:p w14:paraId="73D63902" w14:textId="77777777" w:rsidR="001A639A" w:rsidRPr="009A30D9" w:rsidRDefault="001A639A" w:rsidP="00C507D9">
      <w:pPr>
        <w:jc w:val="both"/>
        <w:rPr>
          <w:rFonts w:ascii="Arial" w:hAnsi="Arial" w:cs="Arial"/>
        </w:rPr>
      </w:pPr>
      <w:r w:rsidRPr="00712AD5">
        <w:rPr>
          <w:rFonts w:ascii="Arial" w:hAnsi="Arial" w:cs="Arial"/>
        </w:rPr>
        <w:t>Bogotá, D.C., XX de XXX de 2019</w:t>
      </w:r>
    </w:p>
    <w:p w14:paraId="69064CE8" w14:textId="77777777" w:rsidR="00476715" w:rsidRPr="009A30D9" w:rsidRDefault="00476715" w:rsidP="00C507D9">
      <w:pPr>
        <w:jc w:val="both"/>
        <w:rPr>
          <w:rFonts w:ascii="Arial" w:hAnsi="Arial" w:cs="Arial"/>
        </w:rPr>
      </w:pPr>
    </w:p>
    <w:p w14:paraId="4649926E" w14:textId="77777777" w:rsidR="00476715" w:rsidRPr="009A30D9" w:rsidRDefault="00476715" w:rsidP="00C507D9">
      <w:pPr>
        <w:jc w:val="both"/>
        <w:rPr>
          <w:rFonts w:ascii="Arial" w:hAnsi="Arial" w:cs="Arial"/>
        </w:rPr>
      </w:pPr>
    </w:p>
    <w:p w14:paraId="41B68410" w14:textId="01CB7A52" w:rsidR="005D45EA" w:rsidRPr="009A30D9" w:rsidRDefault="005D45EA" w:rsidP="00C507D9">
      <w:pPr>
        <w:ind w:left="1134" w:hanging="1134"/>
        <w:jc w:val="both"/>
        <w:rPr>
          <w:rFonts w:ascii="Arial" w:hAnsi="Arial" w:cs="Arial"/>
        </w:rPr>
      </w:pPr>
      <w:r w:rsidRPr="009A30D9">
        <w:rPr>
          <w:rFonts w:ascii="Arial" w:hAnsi="Arial" w:cs="Arial"/>
        </w:rPr>
        <w:t xml:space="preserve">PARA: </w:t>
      </w:r>
      <w:r w:rsidRPr="009A30D9">
        <w:rPr>
          <w:rFonts w:ascii="Arial" w:hAnsi="Arial" w:cs="Arial"/>
        </w:rPr>
        <w:tab/>
      </w:r>
      <w:bookmarkStart w:id="1" w:name="_Hlk24102047"/>
      <w:r w:rsidR="00022FB9">
        <w:rPr>
          <w:rFonts w:ascii="Arial" w:hAnsi="Arial" w:cs="Arial"/>
        </w:rPr>
        <w:t>REPRESENTANTES LEGALES DE ESTABLECIMIENTOS BANCARIOS, COMPAÑÍAS DE FINANCIAMIENTO</w:t>
      </w:r>
      <w:r w:rsidR="00022FB9" w:rsidRPr="009A30D9">
        <w:rPr>
          <w:rFonts w:ascii="Arial" w:hAnsi="Arial" w:cs="Arial"/>
        </w:rPr>
        <w:t xml:space="preserve"> </w:t>
      </w:r>
      <w:r w:rsidR="00022FB9">
        <w:rPr>
          <w:rFonts w:ascii="Arial" w:hAnsi="Arial" w:cs="Arial"/>
        </w:rPr>
        <w:t xml:space="preserve">Y CORPORACIONES FINANCIERAS </w:t>
      </w:r>
    </w:p>
    <w:bookmarkEnd w:id="1"/>
    <w:p w14:paraId="11F52D10" w14:textId="77777777" w:rsidR="005D45EA" w:rsidRPr="009A30D9" w:rsidRDefault="005D45EA" w:rsidP="00C507D9">
      <w:pPr>
        <w:jc w:val="both"/>
        <w:rPr>
          <w:rFonts w:ascii="Arial" w:hAnsi="Arial" w:cs="Arial"/>
        </w:rPr>
      </w:pPr>
    </w:p>
    <w:p w14:paraId="05CE6AB9" w14:textId="77777777" w:rsidR="005D45EA" w:rsidRPr="009A30D9" w:rsidRDefault="005D45EA" w:rsidP="00C507D9">
      <w:pPr>
        <w:jc w:val="both"/>
        <w:rPr>
          <w:rFonts w:ascii="Arial" w:hAnsi="Arial" w:cs="Arial"/>
        </w:rPr>
      </w:pPr>
    </w:p>
    <w:p w14:paraId="04BB2406" w14:textId="7AB8FA6F" w:rsidR="005D45EA" w:rsidRPr="009A30D9" w:rsidRDefault="005D45EA" w:rsidP="00C507D9">
      <w:pPr>
        <w:ind w:left="1134" w:hanging="1134"/>
        <w:jc w:val="both"/>
        <w:rPr>
          <w:rFonts w:ascii="Arial" w:hAnsi="Arial" w:cs="Arial"/>
          <w:color w:val="FF0000"/>
        </w:rPr>
      </w:pPr>
      <w:r w:rsidRPr="009A30D9">
        <w:rPr>
          <w:rFonts w:ascii="Arial" w:hAnsi="Arial" w:cs="Arial"/>
        </w:rPr>
        <w:t xml:space="preserve">Asunto: </w:t>
      </w:r>
      <w:r w:rsidRPr="009A30D9">
        <w:rPr>
          <w:rFonts w:ascii="Arial" w:hAnsi="Arial" w:cs="Arial"/>
        </w:rPr>
        <w:tab/>
        <w:t xml:space="preserve">Guía metodológica para calcular el coeficiente de ajuste para la determinación de la prima del Seguro de Depósitos de </w:t>
      </w:r>
      <w:r w:rsidR="009A30D9" w:rsidRPr="009A30D9">
        <w:rPr>
          <w:rFonts w:ascii="Arial" w:hAnsi="Arial" w:cs="Arial"/>
        </w:rPr>
        <w:t>los bancos, las compañías de financiamiento y las corporaciones financieras.</w:t>
      </w:r>
    </w:p>
    <w:p w14:paraId="415DB5F6" w14:textId="77777777" w:rsidR="005D45EA" w:rsidRPr="009A30D9" w:rsidRDefault="005D45EA" w:rsidP="00C507D9">
      <w:pPr>
        <w:rPr>
          <w:rFonts w:ascii="Arial" w:hAnsi="Arial" w:cs="Arial"/>
        </w:rPr>
      </w:pPr>
    </w:p>
    <w:p w14:paraId="431A81DF" w14:textId="77777777" w:rsidR="005D45EA" w:rsidRPr="009A30D9" w:rsidRDefault="005D45EA" w:rsidP="00C507D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A30D9">
        <w:rPr>
          <w:rFonts w:ascii="Arial" w:hAnsi="Arial" w:cs="Arial"/>
          <w:b/>
          <w:sz w:val="24"/>
          <w:szCs w:val="24"/>
        </w:rPr>
        <w:t xml:space="preserve">OBJETIVO </w:t>
      </w:r>
    </w:p>
    <w:p w14:paraId="6AF52A3E" w14:textId="77777777" w:rsidR="005D45EA" w:rsidRPr="009A30D9" w:rsidRDefault="005D45EA" w:rsidP="00C507D9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B2EFD8F" w14:textId="3BC8E0B0" w:rsidR="00830710" w:rsidRPr="00830710" w:rsidRDefault="00FE7AC7" w:rsidP="00830710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En cumplimiento d</w:t>
      </w:r>
      <w:r w:rsidR="00022FB9">
        <w:rPr>
          <w:rFonts w:ascii="Arial" w:hAnsi="Arial" w:cs="Arial"/>
        </w:rPr>
        <w:t>e la Resolución 003 de 24 de julio de 2019</w:t>
      </w:r>
      <w:r>
        <w:rPr>
          <w:rFonts w:ascii="Arial" w:hAnsi="Arial" w:cs="Arial"/>
        </w:rPr>
        <w:t xml:space="preserve">, </w:t>
      </w:r>
      <w:r w:rsidR="00830710">
        <w:rPr>
          <w:rFonts w:ascii="Arial" w:hAnsi="Arial" w:cs="Arial"/>
        </w:rPr>
        <w:t>a través de</w:t>
      </w:r>
      <w:r>
        <w:rPr>
          <w:rFonts w:ascii="Arial" w:hAnsi="Arial" w:cs="Arial"/>
        </w:rPr>
        <w:t xml:space="preserve"> la cual</w:t>
      </w:r>
      <w:r w:rsidR="00022FB9">
        <w:rPr>
          <w:rFonts w:ascii="Arial" w:hAnsi="Arial" w:cs="Arial"/>
        </w:rPr>
        <w:t xml:space="preserve"> </w:t>
      </w:r>
      <w:r w:rsidR="00022FB9" w:rsidRPr="005905DA">
        <w:rPr>
          <w:rFonts w:ascii="Arial" w:hAnsi="Arial" w:cs="Arial"/>
        </w:rPr>
        <w:t xml:space="preserve">la Junta Directiva </w:t>
      </w:r>
      <w:r w:rsidR="00022FB9">
        <w:rPr>
          <w:rFonts w:ascii="Arial" w:hAnsi="Arial" w:cs="Arial"/>
        </w:rPr>
        <w:t xml:space="preserve">de Fogafín </w:t>
      </w:r>
      <w:r>
        <w:rPr>
          <w:rFonts w:ascii="Arial" w:hAnsi="Arial" w:cs="Arial"/>
        </w:rPr>
        <w:t xml:space="preserve">adoptó </w:t>
      </w:r>
      <w:r w:rsidR="00022FB9" w:rsidRPr="005905DA">
        <w:rPr>
          <w:rFonts w:ascii="Arial" w:hAnsi="Arial" w:cs="Arial"/>
        </w:rPr>
        <w:t xml:space="preserve">un plan para </w:t>
      </w:r>
      <w:r w:rsidR="00830710" w:rsidRPr="00830710">
        <w:rPr>
          <w:rFonts w:ascii="Arial" w:hAnsi="Arial" w:cs="Arial"/>
        </w:rPr>
        <w:t xml:space="preserve">alcanzar el </w:t>
      </w:r>
      <w:r w:rsidR="00976D74" w:rsidRPr="009A30D9">
        <w:rPr>
          <w:rFonts w:ascii="Arial" w:hAnsi="Arial" w:cs="Arial"/>
        </w:rPr>
        <w:t>nivel aceptable de suficiencia de la reserva</w:t>
      </w:r>
      <w:r w:rsidR="00976D74" w:rsidDel="00976D74">
        <w:rPr>
          <w:rStyle w:val="Refdecomentario"/>
          <w:rFonts w:asciiTheme="minorHAnsi" w:eastAsiaTheme="minorHAnsi" w:hAnsiTheme="minorHAnsi" w:cstheme="minorBidi"/>
          <w:lang w:val="es-CO" w:eastAsia="en-US"/>
        </w:rPr>
        <w:t xml:space="preserve"> </w:t>
      </w:r>
      <w:r w:rsidR="00830710" w:rsidRPr="00830710">
        <w:rPr>
          <w:rFonts w:ascii="Arial" w:hAnsi="Arial" w:cs="Arial"/>
        </w:rPr>
        <w:t>del Seguro de Depósitos,</w:t>
      </w:r>
      <w:r w:rsidR="00830710">
        <w:rPr>
          <w:rFonts w:ascii="Arial" w:hAnsi="Arial" w:cs="Arial"/>
        </w:rPr>
        <w:t xml:space="preserve"> mediante el cobro de </w:t>
      </w:r>
      <w:r w:rsidR="00830710" w:rsidRPr="00830710">
        <w:rPr>
          <w:rFonts w:ascii="Arial" w:hAnsi="Arial" w:cs="Arial"/>
        </w:rPr>
        <w:t>un componente anual denominado coeficiente de ajuste</w:t>
      </w:r>
      <w:r w:rsidR="00830710">
        <w:rPr>
          <w:rFonts w:ascii="Arial" w:hAnsi="Arial" w:cs="Arial"/>
        </w:rPr>
        <w:t xml:space="preserve">, por medio de la presente Circular se </w:t>
      </w:r>
      <w:r w:rsidR="00830710" w:rsidRPr="009A30D9">
        <w:rPr>
          <w:rFonts w:ascii="Arial" w:hAnsi="Arial" w:cs="Arial"/>
        </w:rPr>
        <w:t>especifica el procedimiento empleado para el cálculo del mencionado coeficiente de ajuste</w:t>
      </w:r>
      <w:r w:rsidR="00830710">
        <w:rPr>
          <w:rFonts w:ascii="Arial" w:hAnsi="Arial" w:cs="Arial"/>
        </w:rPr>
        <w:t xml:space="preserve"> a fin de que s</w:t>
      </w:r>
      <w:r w:rsidR="00830710" w:rsidRPr="00830710">
        <w:rPr>
          <w:rFonts w:ascii="Arial" w:hAnsi="Arial" w:cs="Arial"/>
        </w:rPr>
        <w:t xml:space="preserve">u valor </w:t>
      </w:r>
      <w:r w:rsidR="004B60FA">
        <w:rPr>
          <w:rFonts w:ascii="Arial" w:hAnsi="Arial" w:cs="Arial"/>
        </w:rPr>
        <w:t>anualmente</w:t>
      </w:r>
      <w:r w:rsidR="00830710" w:rsidRPr="00830710">
        <w:rPr>
          <w:rFonts w:ascii="Arial" w:hAnsi="Arial" w:cs="Arial"/>
        </w:rPr>
        <w:t xml:space="preserve"> informado</w:t>
      </w:r>
      <w:r w:rsidR="004B60FA">
        <w:rPr>
          <w:rFonts w:ascii="Arial" w:hAnsi="Arial" w:cs="Arial"/>
        </w:rPr>
        <w:t>, se encuentre fundamentado.</w:t>
      </w:r>
    </w:p>
    <w:p w14:paraId="29AE6E74" w14:textId="63AD0E01" w:rsidR="00EF172D" w:rsidRDefault="003C62B8" w:rsidP="00FE5E35">
      <w:pPr>
        <w:pStyle w:val="Prrafodelista"/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9A30D9">
        <w:rPr>
          <w:rFonts w:ascii="Arial" w:hAnsi="Arial" w:cs="Arial"/>
          <w:b/>
          <w:sz w:val="24"/>
          <w:szCs w:val="24"/>
        </w:rPr>
        <w:t>PROCEDIMIENTO</w:t>
      </w:r>
      <w:r w:rsidR="00AA6206" w:rsidRPr="009A30D9">
        <w:rPr>
          <w:rFonts w:ascii="Arial" w:hAnsi="Arial" w:cs="Arial"/>
          <w:b/>
          <w:sz w:val="24"/>
          <w:szCs w:val="24"/>
        </w:rPr>
        <w:t xml:space="preserve"> </w:t>
      </w:r>
      <w:r w:rsidR="001E4FC4" w:rsidRPr="009A30D9">
        <w:rPr>
          <w:rFonts w:ascii="Arial" w:hAnsi="Arial" w:cs="Arial"/>
          <w:b/>
          <w:sz w:val="24"/>
          <w:szCs w:val="24"/>
        </w:rPr>
        <w:t xml:space="preserve">PARA </w:t>
      </w:r>
      <w:r w:rsidR="00AA6206" w:rsidRPr="009A30D9">
        <w:rPr>
          <w:rFonts w:ascii="Arial" w:hAnsi="Arial" w:cs="Arial"/>
          <w:b/>
          <w:sz w:val="24"/>
          <w:szCs w:val="24"/>
        </w:rPr>
        <w:t>LA ESTIMACIÓN DE PARÁMETROS</w:t>
      </w:r>
      <w:r w:rsidR="001E4FC4" w:rsidRPr="009A30D9">
        <w:rPr>
          <w:rFonts w:ascii="Arial" w:hAnsi="Arial" w:cs="Arial"/>
          <w:b/>
          <w:sz w:val="24"/>
          <w:szCs w:val="24"/>
        </w:rPr>
        <w:t xml:space="preserve"> Y RAZÓN RESERVA TOTAL </w:t>
      </w:r>
      <w:r w:rsidR="004D1AD7">
        <w:rPr>
          <w:rFonts w:ascii="Arial" w:hAnsi="Arial" w:cs="Arial"/>
          <w:b/>
          <w:sz w:val="24"/>
          <w:szCs w:val="24"/>
        </w:rPr>
        <w:t xml:space="preserve">SOBRE </w:t>
      </w:r>
      <w:r w:rsidR="001E4FC4" w:rsidRPr="009A30D9">
        <w:rPr>
          <w:rFonts w:ascii="Arial" w:hAnsi="Arial" w:cs="Arial"/>
          <w:b/>
          <w:sz w:val="24"/>
          <w:szCs w:val="24"/>
        </w:rPr>
        <w:t>DEPÓSITOS ASEGURABLES</w:t>
      </w:r>
    </w:p>
    <w:p w14:paraId="00FF35C0" w14:textId="77777777" w:rsidR="00FE5E35" w:rsidRDefault="00FE5E35" w:rsidP="00FE5E35">
      <w:pPr>
        <w:pStyle w:val="Prrafodelista"/>
        <w:spacing w:before="240" w:after="0" w:line="240" w:lineRule="auto"/>
        <w:ind w:left="357"/>
        <w:jc w:val="both"/>
        <w:rPr>
          <w:rFonts w:ascii="Arial" w:hAnsi="Arial" w:cs="Arial"/>
          <w:b/>
          <w:sz w:val="24"/>
          <w:szCs w:val="24"/>
        </w:rPr>
      </w:pPr>
    </w:p>
    <w:p w14:paraId="13A17901" w14:textId="08CA774D" w:rsidR="005905DA" w:rsidRPr="005905DA" w:rsidRDefault="004B60FA" w:rsidP="005905DA">
      <w:pPr>
        <w:ind w:left="426"/>
        <w:jc w:val="both"/>
        <w:rPr>
          <w:rFonts w:ascii="Arial" w:hAnsi="Arial" w:cs="Arial"/>
        </w:rPr>
      </w:pPr>
      <w:r w:rsidRPr="00E5104A">
        <w:rPr>
          <w:rFonts w:ascii="Arial" w:hAnsi="Arial" w:cs="Arial"/>
        </w:rPr>
        <w:t>En el entendido que el coeficiente de ajuste permitirá alcanzar el nivel aceptable de suficiencia de la reserva (5.3% - punto medio de la reserva objetivo) en un plazo de 10 años, con el objetivo de tener suficientes recursos disponibles para atender eventos de crisis y de esta forma garantizar la estabilidad del sistema financiero</w:t>
      </w:r>
      <w:r w:rsidR="00FE5E35" w:rsidRPr="00E5104A">
        <w:rPr>
          <w:rFonts w:ascii="Arial" w:hAnsi="Arial" w:cs="Arial"/>
        </w:rPr>
        <w:t>, s</w:t>
      </w:r>
      <w:r w:rsidR="005905DA" w:rsidRPr="00E5104A">
        <w:rPr>
          <w:rFonts w:ascii="Arial" w:hAnsi="Arial" w:cs="Arial"/>
        </w:rPr>
        <w:t>e requiere estimar el valor de tres parámetros de los cuales depende esta razón</w:t>
      </w:r>
      <w:r w:rsidRPr="00E5104A">
        <w:rPr>
          <w:rFonts w:ascii="Arial" w:hAnsi="Arial" w:cs="Arial"/>
        </w:rPr>
        <w:t>, a saber</w:t>
      </w:r>
      <w:r w:rsidR="005905DA" w:rsidRPr="00E5104A">
        <w:rPr>
          <w:rFonts w:ascii="Arial" w:hAnsi="Arial" w:cs="Arial"/>
        </w:rPr>
        <w:t xml:space="preserve">: crecimiento de los depósitos, prima del </w:t>
      </w:r>
      <w:r w:rsidRPr="00E5104A">
        <w:rPr>
          <w:rFonts w:ascii="Arial" w:hAnsi="Arial" w:cs="Arial"/>
        </w:rPr>
        <w:t xml:space="preserve">Seguro </w:t>
      </w:r>
      <w:r w:rsidR="005905DA" w:rsidRPr="00E5104A">
        <w:rPr>
          <w:rFonts w:ascii="Arial" w:hAnsi="Arial" w:cs="Arial"/>
        </w:rPr>
        <w:t xml:space="preserve">de </w:t>
      </w:r>
      <w:r w:rsidRPr="00E5104A">
        <w:rPr>
          <w:rFonts w:ascii="Arial" w:hAnsi="Arial" w:cs="Arial"/>
        </w:rPr>
        <w:t xml:space="preserve">Depósitos </w:t>
      </w:r>
      <w:r w:rsidR="005905DA" w:rsidRPr="00E5104A">
        <w:rPr>
          <w:rFonts w:ascii="Arial" w:hAnsi="Arial" w:cs="Arial"/>
        </w:rPr>
        <w:t xml:space="preserve">y retorno de la reserva del </w:t>
      </w:r>
      <w:r w:rsidRPr="00E5104A">
        <w:rPr>
          <w:rFonts w:ascii="Arial" w:hAnsi="Arial" w:cs="Arial"/>
        </w:rPr>
        <w:t xml:space="preserve">Seguro </w:t>
      </w:r>
      <w:r w:rsidR="005905DA" w:rsidRPr="00E5104A">
        <w:rPr>
          <w:rFonts w:ascii="Arial" w:hAnsi="Arial" w:cs="Arial"/>
        </w:rPr>
        <w:t xml:space="preserve">de </w:t>
      </w:r>
      <w:r w:rsidRPr="00E5104A">
        <w:rPr>
          <w:rFonts w:ascii="Arial" w:hAnsi="Arial" w:cs="Arial"/>
        </w:rPr>
        <w:t>Depósitos</w:t>
      </w:r>
      <w:r w:rsidR="005905DA" w:rsidRPr="00E5104A">
        <w:rPr>
          <w:rFonts w:ascii="Arial" w:hAnsi="Arial" w:cs="Arial"/>
        </w:rPr>
        <w:t>.</w:t>
      </w:r>
    </w:p>
    <w:p w14:paraId="1444E446" w14:textId="4D50E8DB" w:rsidR="009B772A" w:rsidRPr="009A30D9" w:rsidRDefault="00DA1676" w:rsidP="006D500C">
      <w:pPr>
        <w:pStyle w:val="Prrafodelista"/>
        <w:numPr>
          <w:ilvl w:val="1"/>
          <w:numId w:val="1"/>
        </w:num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30D9">
        <w:rPr>
          <w:rFonts w:ascii="Arial" w:hAnsi="Arial" w:cs="Arial"/>
          <w:b/>
          <w:sz w:val="24"/>
          <w:szCs w:val="24"/>
        </w:rPr>
        <w:t>Pronóstico de parámetros</w:t>
      </w:r>
    </w:p>
    <w:p w14:paraId="055989AD" w14:textId="3DD2DC7D" w:rsidR="009B772A" w:rsidRPr="009A30D9" w:rsidRDefault="00FA4B77" w:rsidP="00C507D9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 w:rsidRPr="009A30D9">
        <w:rPr>
          <w:rFonts w:ascii="Arial" w:hAnsi="Arial" w:cs="Arial"/>
          <w:b/>
          <w:sz w:val="24"/>
          <w:szCs w:val="24"/>
        </w:rPr>
        <w:t>Pronóstico</w:t>
      </w:r>
      <w:r w:rsidR="009B772A" w:rsidRPr="009A30D9">
        <w:rPr>
          <w:rFonts w:ascii="Arial" w:hAnsi="Arial" w:cs="Arial"/>
          <w:b/>
          <w:sz w:val="24"/>
          <w:szCs w:val="24"/>
        </w:rPr>
        <w:t xml:space="preserve"> de la tasa de crecimiento anual de los depósitos </w:t>
      </w:r>
      <w:r w:rsidR="00FE5E35">
        <w:rPr>
          <w:rFonts w:ascii="Arial" w:hAnsi="Arial" w:cs="Arial"/>
          <w:b/>
          <w:sz w:val="24"/>
          <w:szCs w:val="24"/>
        </w:rPr>
        <w:t xml:space="preserve">  </w:t>
      </w:r>
      <w:r w:rsidR="009B772A" w:rsidRPr="009A30D9">
        <w:rPr>
          <w:rFonts w:ascii="Arial" w:hAnsi="Arial" w:cs="Arial"/>
          <w:b/>
          <w:sz w:val="24"/>
          <w:szCs w:val="24"/>
        </w:rPr>
        <w:t>asegurables</w:t>
      </w:r>
    </w:p>
    <w:p w14:paraId="0E2CF3B8" w14:textId="77777777" w:rsidR="002B24F1" w:rsidRPr="009A30D9" w:rsidRDefault="002B24F1" w:rsidP="00AA620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B42344" w14:textId="53D3850B" w:rsidR="00253F16" w:rsidRPr="009A30D9" w:rsidRDefault="005A3D9B" w:rsidP="009A30D9">
      <w:pPr>
        <w:autoSpaceDE w:val="0"/>
        <w:autoSpaceDN w:val="0"/>
        <w:adjustRightInd w:val="0"/>
        <w:ind w:left="1276" w:firstLine="12"/>
        <w:jc w:val="both"/>
        <w:rPr>
          <w:rFonts w:ascii="Arial" w:hAnsi="Arial" w:cs="Arial"/>
        </w:rPr>
      </w:pPr>
      <w:r>
        <w:rPr>
          <w:rFonts w:ascii="Arial" w:hAnsi="Arial" w:cs="Arial"/>
        </w:rPr>
        <w:t>Los</w:t>
      </w:r>
      <w:r w:rsidR="002B24F1" w:rsidRPr="009A30D9">
        <w:rPr>
          <w:rFonts w:ascii="Arial" w:hAnsi="Arial" w:cs="Arial"/>
        </w:rPr>
        <w:t xml:space="preserve"> Depósitos Asegurables </w:t>
      </w:r>
      <w:r w:rsidR="0011575F" w:rsidRPr="009A30D9">
        <w:rPr>
          <w:rFonts w:ascii="Arial" w:hAnsi="Arial" w:cs="Arial"/>
        </w:rPr>
        <w:t>por el Seguro de Depósito</w:t>
      </w:r>
      <w:r w:rsidR="00253F16" w:rsidRPr="009A30D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son</w:t>
      </w:r>
      <w:r w:rsidR="00253F16" w:rsidRPr="009A30D9">
        <w:rPr>
          <w:rFonts w:ascii="Arial" w:hAnsi="Arial" w:cs="Arial"/>
        </w:rPr>
        <w:t xml:space="preserve"> </w:t>
      </w:r>
      <w:r w:rsidR="009A30D9">
        <w:rPr>
          <w:rFonts w:ascii="Arial" w:hAnsi="Arial" w:cs="Arial"/>
        </w:rPr>
        <w:t xml:space="preserve">aquellos que se </w:t>
      </w:r>
      <w:r w:rsidR="00253F16" w:rsidRPr="009A30D9">
        <w:rPr>
          <w:rFonts w:ascii="Arial" w:hAnsi="Arial" w:cs="Arial"/>
        </w:rPr>
        <w:t>encuentran registradas en las siguientes cuentas del Catálogo Único de Información Financiera con fines de supervisión:</w:t>
      </w:r>
    </w:p>
    <w:p w14:paraId="1990059C" w14:textId="77777777" w:rsidR="00E65664" w:rsidRPr="009A30D9" w:rsidRDefault="00E65664" w:rsidP="0011575F">
      <w:pPr>
        <w:ind w:left="1276"/>
        <w:jc w:val="both"/>
        <w:rPr>
          <w:rFonts w:ascii="Arial" w:hAnsi="Arial" w:cs="Arial"/>
        </w:rPr>
      </w:pPr>
    </w:p>
    <w:p w14:paraId="7F31D911" w14:textId="5D61764F" w:rsidR="00253F16" w:rsidRPr="00FE5E35" w:rsidRDefault="00253F16" w:rsidP="00253F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A30D9">
        <w:rPr>
          <w:rFonts w:ascii="Arial" w:hAnsi="Arial" w:cs="Arial"/>
          <w:sz w:val="24"/>
          <w:szCs w:val="24"/>
        </w:rPr>
        <w:t xml:space="preserve">Servicios bancarios de recaudo </w:t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  <w:t>211800</w:t>
      </w:r>
    </w:p>
    <w:p w14:paraId="7F0498CD" w14:textId="77777777" w:rsidR="00FE5E35" w:rsidRPr="009A30D9" w:rsidRDefault="00FE5E35" w:rsidP="00FE5E35">
      <w:pPr>
        <w:pStyle w:val="Prrafodelista"/>
        <w:ind w:left="1636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4EB5B7B2" w14:textId="78D80F74" w:rsidR="00253F16" w:rsidRPr="009A30D9" w:rsidRDefault="00253F16" w:rsidP="00253F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A30D9">
        <w:rPr>
          <w:rFonts w:ascii="Arial" w:hAnsi="Arial" w:cs="Arial"/>
          <w:sz w:val="24"/>
          <w:szCs w:val="24"/>
        </w:rPr>
        <w:t>Depósitos especiales</w:t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  <w:t>211600</w:t>
      </w:r>
    </w:p>
    <w:p w14:paraId="275F6044" w14:textId="51813540" w:rsidR="00253F16" w:rsidRPr="009A30D9" w:rsidRDefault="00253F16" w:rsidP="00253F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A30D9">
        <w:rPr>
          <w:rFonts w:ascii="Arial" w:hAnsi="Arial" w:cs="Arial"/>
          <w:sz w:val="24"/>
          <w:szCs w:val="24"/>
        </w:rPr>
        <w:t>Cuentas de ahorro especial</w:t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  <w:t>210900</w:t>
      </w:r>
    </w:p>
    <w:p w14:paraId="64E4C93D" w14:textId="3F8FDDE8" w:rsidR="00253F16" w:rsidRPr="009A30D9" w:rsidRDefault="00253F16" w:rsidP="00253F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A30D9">
        <w:rPr>
          <w:rFonts w:ascii="Arial" w:hAnsi="Arial" w:cs="Arial"/>
          <w:sz w:val="24"/>
          <w:szCs w:val="24"/>
        </w:rPr>
        <w:t>Depósitos de ahorro</w:t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  <w:t>210800</w:t>
      </w:r>
    </w:p>
    <w:p w14:paraId="3A85A300" w14:textId="0E047BAE" w:rsidR="00253F16" w:rsidRPr="009A30D9" w:rsidRDefault="00253F16" w:rsidP="00253F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A30D9">
        <w:rPr>
          <w:rFonts w:ascii="Arial" w:hAnsi="Arial" w:cs="Arial"/>
          <w:sz w:val="24"/>
          <w:szCs w:val="24"/>
        </w:rPr>
        <w:t>Certificados de depósito a término</w:t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  <w:t>210700</w:t>
      </w:r>
    </w:p>
    <w:p w14:paraId="48EE1B7A" w14:textId="177F13C7" w:rsidR="00253F16" w:rsidRPr="009A30D9" w:rsidRDefault="00253F16" w:rsidP="00253F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A30D9">
        <w:rPr>
          <w:rFonts w:ascii="Arial" w:hAnsi="Arial" w:cs="Arial"/>
          <w:sz w:val="24"/>
          <w:szCs w:val="24"/>
        </w:rPr>
        <w:t>Depósitos en cuenta corriente</w:t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</w:r>
      <w:r w:rsid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>210500</w:t>
      </w:r>
    </w:p>
    <w:p w14:paraId="7F477745" w14:textId="6E22A90E" w:rsidR="00253F16" w:rsidRPr="009A30D9" w:rsidRDefault="00253F16" w:rsidP="00253F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A30D9">
        <w:rPr>
          <w:rFonts w:ascii="Arial" w:hAnsi="Arial" w:cs="Arial"/>
          <w:sz w:val="24"/>
          <w:szCs w:val="24"/>
        </w:rPr>
        <w:t>Bonos hipotecarios</w:t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  <w:t>213011 + 224511</w:t>
      </w:r>
    </w:p>
    <w:p w14:paraId="42BC5E85" w14:textId="2CEC84B4" w:rsidR="00253F16" w:rsidRPr="009A30D9" w:rsidRDefault="00253F16" w:rsidP="00253F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A30D9">
        <w:rPr>
          <w:rFonts w:ascii="Arial" w:hAnsi="Arial" w:cs="Arial"/>
          <w:sz w:val="24"/>
          <w:szCs w:val="24"/>
        </w:rPr>
        <w:t>Depósitos simples</w:t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  <w:t>210600</w:t>
      </w:r>
    </w:p>
    <w:p w14:paraId="747499F8" w14:textId="5D0986B2" w:rsidR="0011575F" w:rsidRPr="009A30D9" w:rsidRDefault="00253F16" w:rsidP="00253F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A30D9">
        <w:rPr>
          <w:rFonts w:ascii="Arial" w:hAnsi="Arial" w:cs="Arial"/>
          <w:sz w:val="24"/>
          <w:szCs w:val="24"/>
        </w:rPr>
        <w:t>Depósitos electrónicos</w:t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</w:r>
      <w:r w:rsidRPr="009A30D9">
        <w:rPr>
          <w:rFonts w:ascii="Arial" w:hAnsi="Arial" w:cs="Arial"/>
          <w:sz w:val="24"/>
          <w:szCs w:val="24"/>
        </w:rPr>
        <w:tab/>
        <w:t>212000</w:t>
      </w:r>
    </w:p>
    <w:p w14:paraId="35E5C86C" w14:textId="6D5E9393" w:rsidR="009B772A" w:rsidRPr="009A30D9" w:rsidRDefault="00E65664" w:rsidP="00C507D9">
      <w:pPr>
        <w:spacing w:before="240"/>
        <w:ind w:left="1418"/>
        <w:jc w:val="both"/>
        <w:rPr>
          <w:rFonts w:ascii="Arial" w:hAnsi="Arial" w:cs="Arial"/>
        </w:rPr>
      </w:pPr>
      <w:r w:rsidRPr="009A30D9">
        <w:rPr>
          <w:rFonts w:ascii="Arial" w:hAnsi="Arial" w:cs="Arial"/>
        </w:rPr>
        <w:t>Por lo tanto, l</w:t>
      </w:r>
      <w:r w:rsidR="009B772A" w:rsidRPr="009A30D9">
        <w:rPr>
          <w:rFonts w:ascii="Arial" w:hAnsi="Arial" w:cs="Arial"/>
        </w:rPr>
        <w:t xml:space="preserve">a tasa de crecimiento de los depósitos se </w:t>
      </w:r>
      <w:r w:rsidR="00A330C9">
        <w:rPr>
          <w:rFonts w:ascii="Arial" w:hAnsi="Arial" w:cs="Arial"/>
        </w:rPr>
        <w:t>pronosticará</w:t>
      </w:r>
      <w:r w:rsidR="00A330C9" w:rsidRPr="009A30D9">
        <w:rPr>
          <w:rFonts w:ascii="Arial" w:hAnsi="Arial" w:cs="Arial"/>
        </w:rPr>
        <w:t xml:space="preserve"> </w:t>
      </w:r>
      <w:r w:rsidR="009B772A" w:rsidRPr="009A30D9">
        <w:rPr>
          <w:rFonts w:ascii="Arial" w:hAnsi="Arial" w:cs="Arial"/>
        </w:rPr>
        <w:t>usando</w:t>
      </w:r>
      <w:r w:rsidR="009A30D9">
        <w:rPr>
          <w:rFonts w:ascii="Arial" w:hAnsi="Arial" w:cs="Arial"/>
        </w:rPr>
        <w:t xml:space="preserve"> la metodología que se considere más adecuada según la disponibilidad de información y el criterio definido por Fogafín, por ejemplo,</w:t>
      </w:r>
      <w:r w:rsidR="009B772A" w:rsidRPr="009A30D9">
        <w:rPr>
          <w:rFonts w:ascii="Arial" w:hAnsi="Arial" w:cs="Arial"/>
        </w:rPr>
        <w:t xml:space="preserve"> el promedio</w:t>
      </w:r>
      <w:r w:rsidR="005905DA">
        <w:rPr>
          <w:rFonts w:ascii="Arial" w:hAnsi="Arial" w:cs="Arial"/>
        </w:rPr>
        <w:t xml:space="preserve"> histórico</w:t>
      </w:r>
      <w:r w:rsidR="00D91F84">
        <w:rPr>
          <w:rFonts w:ascii="Arial" w:hAnsi="Arial" w:cs="Arial"/>
        </w:rPr>
        <w:t xml:space="preserve"> o modelos de proyección econométrica o similares</w:t>
      </w:r>
      <w:r w:rsidR="005905DA">
        <w:rPr>
          <w:rFonts w:ascii="Arial" w:hAnsi="Arial" w:cs="Arial"/>
        </w:rPr>
        <w:t>.</w:t>
      </w:r>
      <w:r w:rsidR="009B772A" w:rsidRPr="009A30D9">
        <w:rPr>
          <w:rFonts w:ascii="Arial" w:hAnsi="Arial" w:cs="Arial"/>
        </w:rPr>
        <w:t xml:space="preserve"> </w:t>
      </w:r>
    </w:p>
    <w:p w14:paraId="0B448918" w14:textId="77777777" w:rsidR="004E35CC" w:rsidRPr="004E35CC" w:rsidRDefault="004E35CC" w:rsidP="004E35CC">
      <w:pPr>
        <w:spacing w:after="240"/>
        <w:ind w:left="1224"/>
        <w:jc w:val="both"/>
        <w:rPr>
          <w:rFonts w:ascii="Arial" w:hAnsi="Arial" w:cs="Arial"/>
          <w:b/>
          <w:lang w:val="es-CO" w:eastAsia="en-US"/>
        </w:rPr>
      </w:pPr>
    </w:p>
    <w:p w14:paraId="66476FF9" w14:textId="0A662275" w:rsidR="009B772A" w:rsidRPr="009A30D9" w:rsidRDefault="007C56D5" w:rsidP="00C507D9">
      <w:pPr>
        <w:numPr>
          <w:ilvl w:val="2"/>
          <w:numId w:val="1"/>
        </w:numPr>
        <w:spacing w:after="240"/>
        <w:jc w:val="both"/>
        <w:rPr>
          <w:rFonts w:ascii="Arial" w:hAnsi="Arial" w:cs="Arial"/>
          <w:b/>
          <w:lang w:val="es-CO" w:eastAsia="en-US"/>
        </w:rPr>
      </w:pPr>
      <w:r w:rsidRPr="009A30D9">
        <w:rPr>
          <w:rFonts w:ascii="Arial" w:hAnsi="Arial" w:cs="Arial"/>
          <w:b/>
        </w:rPr>
        <w:t>Pronóstico</w:t>
      </w:r>
      <w:r w:rsidR="009B772A" w:rsidRPr="009A30D9">
        <w:rPr>
          <w:rFonts w:ascii="Arial" w:hAnsi="Arial" w:cs="Arial"/>
          <w:b/>
          <w:lang w:val="es-CO" w:eastAsia="en-US"/>
        </w:rPr>
        <w:t xml:space="preserve"> de la prima anual</w:t>
      </w:r>
      <w:r w:rsidR="005A3D9B">
        <w:rPr>
          <w:rFonts w:ascii="Arial" w:hAnsi="Arial" w:cs="Arial"/>
          <w:b/>
          <w:lang w:val="es-CO" w:eastAsia="en-US"/>
        </w:rPr>
        <w:t xml:space="preserve"> pagada por concepto de</w:t>
      </w:r>
      <w:r w:rsidR="0011582D">
        <w:rPr>
          <w:rFonts w:ascii="Arial" w:hAnsi="Arial" w:cs="Arial"/>
          <w:b/>
          <w:lang w:val="es-CO" w:eastAsia="en-US"/>
        </w:rPr>
        <w:t>l</w:t>
      </w:r>
      <w:r w:rsidR="005A3D9B">
        <w:rPr>
          <w:rFonts w:ascii="Arial" w:hAnsi="Arial" w:cs="Arial"/>
          <w:b/>
          <w:lang w:val="es-CO" w:eastAsia="en-US"/>
        </w:rPr>
        <w:t xml:space="preserve"> </w:t>
      </w:r>
      <w:r w:rsidR="00FA4B77">
        <w:rPr>
          <w:rFonts w:ascii="Arial" w:hAnsi="Arial" w:cs="Arial"/>
          <w:b/>
          <w:lang w:val="es-CO" w:eastAsia="en-US"/>
        </w:rPr>
        <w:t xml:space="preserve">Seguro </w:t>
      </w:r>
      <w:r w:rsidR="005A3D9B">
        <w:rPr>
          <w:rFonts w:ascii="Arial" w:hAnsi="Arial" w:cs="Arial"/>
          <w:b/>
          <w:lang w:val="es-CO" w:eastAsia="en-US"/>
        </w:rPr>
        <w:t>de</w:t>
      </w:r>
      <w:r w:rsidR="00AE2500">
        <w:rPr>
          <w:rFonts w:ascii="Arial" w:hAnsi="Arial" w:cs="Arial"/>
          <w:b/>
          <w:lang w:val="es-CO" w:eastAsia="en-US"/>
        </w:rPr>
        <w:t>l</w:t>
      </w:r>
      <w:r w:rsidR="005A3D9B">
        <w:rPr>
          <w:rFonts w:ascii="Arial" w:hAnsi="Arial" w:cs="Arial"/>
          <w:b/>
          <w:lang w:val="es-CO" w:eastAsia="en-US"/>
        </w:rPr>
        <w:t xml:space="preserve"> </w:t>
      </w:r>
      <w:r w:rsidR="00FA4B77">
        <w:rPr>
          <w:rFonts w:ascii="Arial" w:hAnsi="Arial" w:cs="Arial"/>
          <w:b/>
          <w:lang w:val="es-CO" w:eastAsia="en-US"/>
        </w:rPr>
        <w:t>Depósitos</w:t>
      </w:r>
    </w:p>
    <w:p w14:paraId="1C161623" w14:textId="671DD863" w:rsidR="003D4B8E" w:rsidRDefault="009B772A" w:rsidP="003D4B8E">
      <w:pPr>
        <w:ind w:left="1418"/>
        <w:jc w:val="both"/>
        <w:rPr>
          <w:rFonts w:ascii="Arial" w:hAnsi="Arial" w:cs="Arial"/>
        </w:rPr>
      </w:pPr>
      <w:r w:rsidRPr="009A30D9">
        <w:rPr>
          <w:rFonts w:ascii="Arial" w:hAnsi="Arial" w:cs="Arial"/>
        </w:rPr>
        <w:t xml:space="preserve">La prima </w:t>
      </w:r>
      <w:r w:rsidR="00F96661">
        <w:rPr>
          <w:rFonts w:ascii="Arial" w:hAnsi="Arial" w:cs="Arial"/>
        </w:rPr>
        <w:t>de</w:t>
      </w:r>
      <w:r w:rsidR="00E5104A">
        <w:rPr>
          <w:rFonts w:ascii="Arial" w:hAnsi="Arial" w:cs="Arial"/>
        </w:rPr>
        <w:t>l</w:t>
      </w:r>
      <w:r w:rsidR="00F96661">
        <w:rPr>
          <w:rFonts w:ascii="Arial" w:hAnsi="Arial" w:cs="Arial"/>
        </w:rPr>
        <w:t xml:space="preserve"> Seguro de Depósitos </w:t>
      </w:r>
      <w:r w:rsidR="009A30D9" w:rsidRPr="009A30D9">
        <w:rPr>
          <w:rFonts w:ascii="Arial" w:hAnsi="Arial" w:cs="Arial"/>
        </w:rPr>
        <w:t xml:space="preserve">se </w:t>
      </w:r>
      <w:r w:rsidR="00A330C9">
        <w:rPr>
          <w:rFonts w:ascii="Arial" w:hAnsi="Arial" w:cs="Arial"/>
        </w:rPr>
        <w:t>pronosticará</w:t>
      </w:r>
      <w:r w:rsidR="00A330C9" w:rsidRPr="009A30D9">
        <w:rPr>
          <w:rFonts w:ascii="Arial" w:hAnsi="Arial" w:cs="Arial"/>
        </w:rPr>
        <w:t xml:space="preserve"> </w:t>
      </w:r>
      <w:r w:rsidR="009A30D9" w:rsidRPr="009A30D9">
        <w:rPr>
          <w:rFonts w:ascii="Arial" w:hAnsi="Arial" w:cs="Arial"/>
        </w:rPr>
        <w:t>usando</w:t>
      </w:r>
      <w:r w:rsidR="009A30D9">
        <w:rPr>
          <w:rFonts w:ascii="Arial" w:hAnsi="Arial" w:cs="Arial"/>
        </w:rPr>
        <w:t xml:space="preserve"> la metodología que se considere más adecuada según la disponibilidad de información y el criterio definido por Fogafín, por ejemplo,</w:t>
      </w:r>
      <w:r w:rsidR="005905DA" w:rsidRPr="009A30D9">
        <w:rPr>
          <w:rFonts w:ascii="Arial" w:hAnsi="Arial" w:cs="Arial"/>
        </w:rPr>
        <w:t xml:space="preserve"> el promedio</w:t>
      </w:r>
      <w:r w:rsidR="005905DA">
        <w:rPr>
          <w:rFonts w:ascii="Arial" w:hAnsi="Arial" w:cs="Arial"/>
        </w:rPr>
        <w:t xml:space="preserve"> histórico</w:t>
      </w:r>
      <w:r w:rsidR="007C56D5">
        <w:rPr>
          <w:rFonts w:ascii="Arial" w:hAnsi="Arial" w:cs="Arial"/>
        </w:rPr>
        <w:t xml:space="preserve"> o modelos de proyección econométrica o similares</w:t>
      </w:r>
      <w:r w:rsidR="005905DA">
        <w:rPr>
          <w:rFonts w:ascii="Arial" w:hAnsi="Arial" w:cs="Arial"/>
        </w:rPr>
        <w:t>.</w:t>
      </w:r>
    </w:p>
    <w:p w14:paraId="28E0A313" w14:textId="77777777" w:rsidR="005905DA" w:rsidRPr="009A30D9" w:rsidRDefault="005905DA" w:rsidP="003D4B8E">
      <w:pPr>
        <w:ind w:left="1418"/>
        <w:jc w:val="both"/>
        <w:rPr>
          <w:rFonts w:ascii="Arial" w:hAnsi="Arial" w:cs="Arial"/>
        </w:rPr>
      </w:pPr>
    </w:p>
    <w:p w14:paraId="535E7C74" w14:textId="180DD01C" w:rsidR="00463C61" w:rsidRPr="009A30D9" w:rsidRDefault="007C56D5" w:rsidP="00463C61">
      <w:pPr>
        <w:numPr>
          <w:ilvl w:val="2"/>
          <w:numId w:val="1"/>
        </w:numPr>
        <w:spacing w:after="240"/>
        <w:jc w:val="both"/>
        <w:rPr>
          <w:rFonts w:ascii="Arial" w:hAnsi="Arial" w:cs="Arial"/>
          <w:b/>
          <w:lang w:val="es-CO" w:eastAsia="en-US"/>
        </w:rPr>
      </w:pPr>
      <w:r w:rsidRPr="009A30D9">
        <w:rPr>
          <w:rFonts w:ascii="Arial" w:hAnsi="Arial" w:cs="Arial"/>
          <w:b/>
        </w:rPr>
        <w:t>Pronóstico</w:t>
      </w:r>
      <w:r w:rsidR="009B772A" w:rsidRPr="009A30D9">
        <w:rPr>
          <w:rFonts w:ascii="Arial" w:hAnsi="Arial" w:cs="Arial"/>
          <w:b/>
          <w:lang w:val="es-CO" w:eastAsia="en-US"/>
        </w:rPr>
        <w:t xml:space="preserve"> de</w:t>
      </w:r>
      <w:r w:rsidR="009E4858">
        <w:rPr>
          <w:rFonts w:ascii="Arial" w:hAnsi="Arial" w:cs="Arial"/>
          <w:b/>
          <w:lang w:val="es-CO" w:eastAsia="en-US"/>
        </w:rPr>
        <w:t xml:space="preserve"> la tasa de </w:t>
      </w:r>
      <w:r w:rsidR="009B772A" w:rsidRPr="009A30D9">
        <w:rPr>
          <w:rFonts w:ascii="Arial" w:hAnsi="Arial" w:cs="Arial"/>
          <w:b/>
          <w:lang w:val="es-CO" w:eastAsia="en-US"/>
        </w:rPr>
        <w:t>retorno anual de la reserva</w:t>
      </w:r>
      <w:r w:rsidR="00A330C9">
        <w:rPr>
          <w:rFonts w:ascii="Arial" w:hAnsi="Arial" w:cs="Arial"/>
          <w:b/>
          <w:lang w:val="es-CO" w:eastAsia="en-US"/>
        </w:rPr>
        <w:t xml:space="preserve"> de</w:t>
      </w:r>
      <w:r w:rsidR="00AE2500">
        <w:rPr>
          <w:rFonts w:ascii="Arial" w:hAnsi="Arial" w:cs="Arial"/>
          <w:b/>
          <w:lang w:val="es-CO" w:eastAsia="en-US"/>
        </w:rPr>
        <w:t>l</w:t>
      </w:r>
      <w:r w:rsidR="00A330C9">
        <w:rPr>
          <w:rFonts w:ascii="Arial" w:hAnsi="Arial" w:cs="Arial"/>
          <w:b/>
          <w:lang w:val="es-CO" w:eastAsia="en-US"/>
        </w:rPr>
        <w:t xml:space="preserve"> Seguro de Depósitos</w:t>
      </w:r>
    </w:p>
    <w:p w14:paraId="2B423FCA" w14:textId="7F033D3B" w:rsidR="00DA1676" w:rsidRPr="009A30D9" w:rsidRDefault="009E4858" w:rsidP="003D4B8E">
      <w:pPr>
        <w:spacing w:before="24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La tasa de</w:t>
      </w:r>
      <w:r w:rsidR="009A30D9">
        <w:rPr>
          <w:rFonts w:ascii="Arial" w:hAnsi="Arial" w:cs="Arial"/>
        </w:rPr>
        <w:t xml:space="preserve"> retorno anual de la reserva</w:t>
      </w:r>
      <w:r w:rsidR="00F96661">
        <w:rPr>
          <w:rFonts w:ascii="Arial" w:hAnsi="Arial" w:cs="Arial"/>
        </w:rPr>
        <w:t xml:space="preserve"> de</w:t>
      </w:r>
      <w:r w:rsidR="00E5104A">
        <w:rPr>
          <w:rFonts w:ascii="Arial" w:hAnsi="Arial" w:cs="Arial"/>
        </w:rPr>
        <w:t>l</w:t>
      </w:r>
      <w:r w:rsidR="00F96661">
        <w:rPr>
          <w:rFonts w:ascii="Arial" w:hAnsi="Arial" w:cs="Arial"/>
        </w:rPr>
        <w:t xml:space="preserve"> Seguro de Depósitos</w:t>
      </w:r>
      <w:r w:rsidR="009A30D9" w:rsidRPr="009A30D9">
        <w:rPr>
          <w:rFonts w:ascii="Arial" w:hAnsi="Arial" w:cs="Arial"/>
        </w:rPr>
        <w:t xml:space="preserve"> se </w:t>
      </w:r>
      <w:r w:rsidR="00A330C9">
        <w:rPr>
          <w:rFonts w:ascii="Arial" w:hAnsi="Arial" w:cs="Arial"/>
        </w:rPr>
        <w:t>pronosticará</w:t>
      </w:r>
      <w:r w:rsidR="00A330C9" w:rsidRPr="009A30D9">
        <w:rPr>
          <w:rFonts w:ascii="Arial" w:hAnsi="Arial" w:cs="Arial"/>
        </w:rPr>
        <w:t xml:space="preserve"> </w:t>
      </w:r>
      <w:r w:rsidR="009A30D9" w:rsidRPr="009A30D9">
        <w:rPr>
          <w:rFonts w:ascii="Arial" w:hAnsi="Arial" w:cs="Arial"/>
        </w:rPr>
        <w:t>usando</w:t>
      </w:r>
      <w:r w:rsidR="009A30D9">
        <w:rPr>
          <w:rFonts w:ascii="Arial" w:hAnsi="Arial" w:cs="Arial"/>
        </w:rPr>
        <w:t xml:space="preserve"> la metodología que se considere más adecuada según la disponibilidad de información y el criterio definido por Fogafín, por ejemplo,</w:t>
      </w:r>
      <w:r w:rsidR="009B772A" w:rsidRPr="009A30D9">
        <w:rPr>
          <w:rFonts w:ascii="Arial" w:hAnsi="Arial" w:cs="Arial"/>
        </w:rPr>
        <w:t xml:space="preserve"> utilizando la tasa de interna de retorno de los activos y asumiendo paridad de tasas de cambio. </w:t>
      </w:r>
    </w:p>
    <w:p w14:paraId="295E04E0" w14:textId="674311B6" w:rsidR="00780386" w:rsidRDefault="009E7271" w:rsidP="00FE5E35">
      <w:pPr>
        <w:pStyle w:val="Prrafodelista"/>
        <w:numPr>
          <w:ilvl w:val="1"/>
          <w:numId w:val="1"/>
        </w:numPr>
        <w:spacing w:before="240" w:after="0" w:line="240" w:lineRule="auto"/>
        <w:ind w:left="788" w:hanging="43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Proyección</w:t>
      </w:r>
      <w:r w:rsidRPr="009A30D9">
        <w:rPr>
          <w:rFonts w:ascii="Arial" w:hAnsi="Arial" w:cs="Arial"/>
          <w:b/>
          <w:sz w:val="24"/>
          <w:szCs w:val="24"/>
        </w:rPr>
        <w:t xml:space="preserve"> </w:t>
      </w:r>
      <w:r w:rsidR="00463C61" w:rsidRPr="009A30D9">
        <w:rPr>
          <w:rFonts w:ascii="Arial" w:hAnsi="Arial" w:cs="Arial"/>
          <w:b/>
          <w:sz w:val="24"/>
          <w:szCs w:val="24"/>
        </w:rPr>
        <w:t xml:space="preserve">de la </w:t>
      </w:r>
      <w:r w:rsidR="000E24CD" w:rsidRPr="009A30D9">
        <w:rPr>
          <w:rFonts w:ascii="Arial" w:hAnsi="Arial" w:cs="Arial"/>
          <w:b/>
          <w:sz w:val="24"/>
          <w:szCs w:val="24"/>
        </w:rPr>
        <w:t xml:space="preserve">razón reserva </w:t>
      </w:r>
      <w:r>
        <w:rPr>
          <w:rFonts w:ascii="Arial" w:hAnsi="Arial" w:cs="Arial"/>
          <w:b/>
          <w:sz w:val="24"/>
          <w:szCs w:val="24"/>
        </w:rPr>
        <w:t>de</w:t>
      </w:r>
      <w:r w:rsidR="005D0C42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 xml:space="preserve"> Seguro de Depósitos sobre los</w:t>
      </w:r>
      <w:r w:rsidR="000E24CD" w:rsidRPr="009A30D9">
        <w:rPr>
          <w:rFonts w:ascii="Arial" w:hAnsi="Arial" w:cs="Arial"/>
          <w:b/>
          <w:sz w:val="24"/>
          <w:szCs w:val="24"/>
        </w:rPr>
        <w:t xml:space="preserve"> depósitos asegurables</w:t>
      </w:r>
    </w:p>
    <w:p w14:paraId="03BD2AF6" w14:textId="77777777" w:rsidR="000C5123" w:rsidRPr="009A30D9" w:rsidRDefault="000C5123" w:rsidP="000C5123">
      <w:pPr>
        <w:pStyle w:val="Prrafodelista"/>
        <w:spacing w:before="240" w:after="240" w:line="360" w:lineRule="auto"/>
        <w:ind w:left="788"/>
        <w:jc w:val="both"/>
        <w:rPr>
          <w:rFonts w:ascii="Arial" w:hAnsi="Arial" w:cs="Arial"/>
          <w:b/>
          <w:sz w:val="24"/>
          <w:szCs w:val="24"/>
        </w:rPr>
      </w:pPr>
    </w:p>
    <w:p w14:paraId="00FDFE30" w14:textId="6415D7C1" w:rsidR="00463C61" w:rsidRPr="009A30D9" w:rsidRDefault="00463C61" w:rsidP="00463C61">
      <w:pPr>
        <w:pStyle w:val="Prrafodelista"/>
        <w:numPr>
          <w:ilvl w:val="2"/>
          <w:numId w:val="1"/>
        </w:num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A30D9">
        <w:rPr>
          <w:rFonts w:ascii="Arial" w:hAnsi="Arial" w:cs="Arial"/>
          <w:b/>
          <w:sz w:val="24"/>
          <w:szCs w:val="24"/>
        </w:rPr>
        <w:t>Depósitos asegurables</w:t>
      </w:r>
    </w:p>
    <w:p w14:paraId="350302E5" w14:textId="695CAAE8" w:rsidR="00DE6F15" w:rsidRDefault="00DE6F15" w:rsidP="00B4218F">
      <w:pPr>
        <w:spacing w:before="240"/>
        <w:ind w:left="1418"/>
        <w:jc w:val="both"/>
        <w:rPr>
          <w:rFonts w:ascii="Arial" w:hAnsi="Arial" w:cs="Arial"/>
        </w:rPr>
      </w:pPr>
      <w:r w:rsidRPr="009A30D9">
        <w:rPr>
          <w:rFonts w:ascii="Arial" w:hAnsi="Arial" w:cs="Arial"/>
        </w:rPr>
        <w:t xml:space="preserve">Los depósitos asegurables de cada año se </w:t>
      </w:r>
      <w:r w:rsidR="00E864CD">
        <w:rPr>
          <w:rFonts w:ascii="Arial" w:hAnsi="Arial" w:cs="Arial"/>
        </w:rPr>
        <w:t>proyectarán</w:t>
      </w:r>
      <w:r w:rsidR="00E864CD" w:rsidRPr="009A30D9">
        <w:rPr>
          <w:rFonts w:ascii="Arial" w:hAnsi="Arial" w:cs="Arial"/>
        </w:rPr>
        <w:t xml:space="preserve"> </w:t>
      </w:r>
      <w:r w:rsidR="00750A1E">
        <w:rPr>
          <w:rFonts w:ascii="Arial" w:hAnsi="Arial" w:cs="Arial"/>
        </w:rPr>
        <w:t xml:space="preserve">aplicando el </w:t>
      </w:r>
      <w:r w:rsidRPr="009A30D9">
        <w:rPr>
          <w:rFonts w:ascii="Arial" w:hAnsi="Arial" w:cs="Arial"/>
        </w:rPr>
        <w:t xml:space="preserve">crecimiento anual de los depósitos </w:t>
      </w:r>
      <w:r w:rsidR="005D12C5">
        <w:rPr>
          <w:rFonts w:ascii="Arial" w:hAnsi="Arial" w:cs="Arial"/>
        </w:rPr>
        <w:t xml:space="preserve">pronosticado </w:t>
      </w:r>
      <w:r w:rsidR="00750A1E">
        <w:rPr>
          <w:rFonts w:ascii="Arial" w:hAnsi="Arial" w:cs="Arial"/>
        </w:rPr>
        <w:t xml:space="preserve">por </w:t>
      </w:r>
      <w:r w:rsidR="005D12C5">
        <w:rPr>
          <w:rFonts w:ascii="Arial" w:hAnsi="Arial" w:cs="Arial"/>
        </w:rPr>
        <w:t>Fogafín, según el numeral 2.1.1</w:t>
      </w:r>
      <w:r w:rsidR="00750A1E">
        <w:rPr>
          <w:rFonts w:ascii="Arial" w:hAnsi="Arial" w:cs="Arial"/>
        </w:rPr>
        <w:t>.</w:t>
      </w:r>
      <w:r w:rsidR="005D12C5">
        <w:rPr>
          <w:rFonts w:ascii="Arial" w:hAnsi="Arial" w:cs="Arial"/>
        </w:rPr>
        <w:t>,</w:t>
      </w:r>
      <w:r w:rsidR="000E24CD" w:rsidRPr="009A30D9">
        <w:rPr>
          <w:rFonts w:ascii="Arial" w:hAnsi="Arial" w:cs="Arial"/>
        </w:rPr>
        <w:t xml:space="preserve"> </w:t>
      </w:r>
      <w:r w:rsidR="005A3D9B">
        <w:rPr>
          <w:rFonts w:ascii="Arial" w:hAnsi="Arial" w:cs="Arial"/>
        </w:rPr>
        <w:t>hasta el año 2029</w:t>
      </w:r>
      <w:r w:rsidR="003C2CF3" w:rsidRPr="009A30D9">
        <w:rPr>
          <w:rFonts w:ascii="Arial" w:hAnsi="Arial" w:cs="Arial"/>
        </w:rPr>
        <w:t>.</w:t>
      </w:r>
    </w:p>
    <w:p w14:paraId="23157A59" w14:textId="0A0369AC" w:rsidR="00FE5E35" w:rsidRDefault="00FE5E35" w:rsidP="00B4218F">
      <w:pPr>
        <w:spacing w:before="240"/>
        <w:ind w:left="1418"/>
        <w:jc w:val="both"/>
        <w:rPr>
          <w:rFonts w:ascii="Arial" w:hAnsi="Arial" w:cs="Arial"/>
        </w:rPr>
      </w:pPr>
    </w:p>
    <w:p w14:paraId="3FF9ADF2" w14:textId="77777777" w:rsidR="00FE5E35" w:rsidRPr="009A30D9" w:rsidRDefault="00FE5E35" w:rsidP="00B4218F">
      <w:pPr>
        <w:spacing w:before="240"/>
        <w:ind w:left="1418"/>
        <w:jc w:val="both"/>
        <w:rPr>
          <w:rFonts w:ascii="Arial" w:hAnsi="Arial" w:cs="Arial"/>
        </w:rPr>
      </w:pPr>
    </w:p>
    <w:p w14:paraId="7F81E9FB" w14:textId="17439DEA" w:rsidR="00DE6F15" w:rsidRPr="009A30D9" w:rsidRDefault="00DE6F15" w:rsidP="00DE6F15">
      <w:pPr>
        <w:pStyle w:val="Prrafodelista"/>
        <w:numPr>
          <w:ilvl w:val="2"/>
          <w:numId w:val="1"/>
        </w:num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30D9">
        <w:rPr>
          <w:rFonts w:ascii="Arial" w:hAnsi="Arial" w:cs="Arial"/>
          <w:b/>
          <w:sz w:val="24"/>
          <w:szCs w:val="24"/>
        </w:rPr>
        <w:t xml:space="preserve">Reserva </w:t>
      </w:r>
      <w:r w:rsidR="005D12C5">
        <w:rPr>
          <w:rFonts w:ascii="Arial" w:hAnsi="Arial" w:cs="Arial"/>
          <w:b/>
          <w:sz w:val="24"/>
          <w:szCs w:val="24"/>
        </w:rPr>
        <w:t>de</w:t>
      </w:r>
      <w:r w:rsidR="00AE2500">
        <w:rPr>
          <w:rFonts w:ascii="Arial" w:hAnsi="Arial" w:cs="Arial"/>
          <w:b/>
          <w:sz w:val="24"/>
          <w:szCs w:val="24"/>
        </w:rPr>
        <w:t>l</w:t>
      </w:r>
      <w:r w:rsidR="005D12C5">
        <w:rPr>
          <w:rFonts w:ascii="Arial" w:hAnsi="Arial" w:cs="Arial"/>
          <w:b/>
          <w:sz w:val="24"/>
          <w:szCs w:val="24"/>
        </w:rPr>
        <w:t xml:space="preserve"> Seguro de Depósitos </w:t>
      </w:r>
    </w:p>
    <w:p w14:paraId="3B8C706C" w14:textId="1916B5A8" w:rsidR="003C62B8" w:rsidRDefault="003C2CF3" w:rsidP="003D4B8E">
      <w:pPr>
        <w:ind w:left="1418"/>
        <w:jc w:val="both"/>
        <w:rPr>
          <w:rFonts w:ascii="Arial" w:hAnsi="Arial" w:cs="Arial"/>
        </w:rPr>
      </w:pPr>
      <w:r w:rsidRPr="009A30D9">
        <w:rPr>
          <w:rFonts w:ascii="Arial" w:hAnsi="Arial" w:cs="Arial"/>
        </w:rPr>
        <w:t xml:space="preserve">El valor de la reserva </w:t>
      </w:r>
      <w:r w:rsidR="005D12C5">
        <w:rPr>
          <w:rFonts w:ascii="Arial" w:hAnsi="Arial" w:cs="Arial"/>
        </w:rPr>
        <w:t>de</w:t>
      </w:r>
      <w:r w:rsidR="00AE2500">
        <w:rPr>
          <w:rFonts w:ascii="Arial" w:hAnsi="Arial" w:cs="Arial"/>
        </w:rPr>
        <w:t>l</w:t>
      </w:r>
      <w:r w:rsidR="005D12C5">
        <w:rPr>
          <w:rFonts w:ascii="Arial" w:hAnsi="Arial" w:cs="Arial"/>
        </w:rPr>
        <w:t xml:space="preserve"> Seguro de Depósitos </w:t>
      </w:r>
      <w:r w:rsidRPr="009A30D9">
        <w:rPr>
          <w:rFonts w:ascii="Arial" w:hAnsi="Arial" w:cs="Arial"/>
        </w:rPr>
        <w:t xml:space="preserve">para </w:t>
      </w:r>
      <w:r w:rsidR="00854064">
        <w:rPr>
          <w:rFonts w:ascii="Arial" w:hAnsi="Arial" w:cs="Arial"/>
        </w:rPr>
        <w:t>cada</w:t>
      </w:r>
      <w:r w:rsidRPr="009A30D9">
        <w:rPr>
          <w:rFonts w:ascii="Arial" w:hAnsi="Arial" w:cs="Arial"/>
        </w:rPr>
        <w:t xml:space="preserve"> año equivale a la suma </w:t>
      </w:r>
      <w:r w:rsidR="00854064">
        <w:rPr>
          <w:rFonts w:ascii="Arial" w:hAnsi="Arial" w:cs="Arial"/>
        </w:rPr>
        <w:t>del valor de la reserva del año anterior, el</w:t>
      </w:r>
      <w:r w:rsidRPr="009A30D9">
        <w:rPr>
          <w:rFonts w:ascii="Arial" w:hAnsi="Arial" w:cs="Arial"/>
        </w:rPr>
        <w:t xml:space="preserve"> </w:t>
      </w:r>
      <w:r w:rsidR="00854064">
        <w:rPr>
          <w:rFonts w:ascii="Arial" w:hAnsi="Arial" w:cs="Arial"/>
        </w:rPr>
        <w:t>rendimiento</w:t>
      </w:r>
      <w:r w:rsidRPr="009A30D9">
        <w:rPr>
          <w:rFonts w:ascii="Arial" w:hAnsi="Arial" w:cs="Arial"/>
        </w:rPr>
        <w:t xml:space="preserve"> anual de la reserva</w:t>
      </w:r>
      <w:r w:rsidR="005D12C5">
        <w:rPr>
          <w:rFonts w:ascii="Arial" w:hAnsi="Arial" w:cs="Arial"/>
        </w:rPr>
        <w:t xml:space="preserve"> (pronosticado por Fogafín, según el numeral 2.1.3.)</w:t>
      </w:r>
      <w:r w:rsidRPr="009A30D9">
        <w:rPr>
          <w:rFonts w:ascii="Arial" w:hAnsi="Arial" w:cs="Arial"/>
        </w:rPr>
        <w:t xml:space="preserve"> y el recaudo </w:t>
      </w:r>
      <w:r w:rsidRPr="005A3D9B">
        <w:rPr>
          <w:rFonts w:ascii="Arial" w:hAnsi="Arial" w:cs="Arial"/>
        </w:rPr>
        <w:t>de la prima</w:t>
      </w:r>
      <w:r w:rsidR="005D12C5">
        <w:rPr>
          <w:rFonts w:ascii="Arial" w:hAnsi="Arial" w:cs="Arial"/>
        </w:rPr>
        <w:t xml:space="preserve"> del Seguro de Depósitos del correspondiente año pronosticado por Fogafín, según el numeral 2.1.2.)</w:t>
      </w:r>
      <w:r w:rsidR="005A3D9B" w:rsidRPr="005A3D9B">
        <w:rPr>
          <w:rFonts w:ascii="Arial" w:hAnsi="Arial" w:cs="Arial"/>
        </w:rPr>
        <w:t>,</w:t>
      </w:r>
      <w:r w:rsidR="008D44DF" w:rsidRPr="005A3D9B">
        <w:rPr>
          <w:rFonts w:ascii="Arial" w:hAnsi="Arial" w:cs="Arial"/>
        </w:rPr>
        <w:t xml:space="preserve"> </w:t>
      </w:r>
      <w:r w:rsidR="005A3D9B">
        <w:rPr>
          <w:rFonts w:ascii="Arial" w:hAnsi="Arial" w:cs="Arial"/>
        </w:rPr>
        <w:t>hasta el año 2029</w:t>
      </w:r>
      <w:r w:rsidR="005A3D9B" w:rsidRPr="009A30D9">
        <w:rPr>
          <w:rFonts w:ascii="Arial" w:hAnsi="Arial" w:cs="Arial"/>
        </w:rPr>
        <w:t>.</w:t>
      </w:r>
    </w:p>
    <w:p w14:paraId="1D28AC1D" w14:textId="77777777" w:rsidR="00970BD1" w:rsidRPr="009A30D9" w:rsidRDefault="00970BD1" w:rsidP="00750A1E">
      <w:pPr>
        <w:jc w:val="both"/>
        <w:rPr>
          <w:rFonts w:ascii="Arial" w:hAnsi="Arial" w:cs="Arial"/>
        </w:rPr>
      </w:pPr>
    </w:p>
    <w:p w14:paraId="757F55D6" w14:textId="2F839E6F" w:rsidR="000E24CD" w:rsidRDefault="00515C8B" w:rsidP="005D0C42">
      <w:pPr>
        <w:pStyle w:val="Prrafodelista"/>
        <w:numPr>
          <w:ilvl w:val="2"/>
          <w:numId w:val="1"/>
        </w:numPr>
        <w:spacing w:before="240" w:after="0" w:line="240" w:lineRule="auto"/>
        <w:ind w:left="1225" w:hanging="5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Pr="009A30D9">
        <w:rPr>
          <w:rFonts w:ascii="Arial" w:hAnsi="Arial" w:cs="Arial"/>
          <w:b/>
          <w:sz w:val="24"/>
          <w:szCs w:val="24"/>
        </w:rPr>
        <w:t xml:space="preserve">azón reserva </w:t>
      </w:r>
      <w:r>
        <w:rPr>
          <w:rFonts w:ascii="Arial" w:hAnsi="Arial" w:cs="Arial"/>
          <w:b/>
          <w:sz w:val="24"/>
          <w:szCs w:val="24"/>
        </w:rPr>
        <w:t>de</w:t>
      </w:r>
      <w:r w:rsidR="005D0C42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 xml:space="preserve"> Seguro de Depósitos sobre los</w:t>
      </w:r>
      <w:r w:rsidRPr="009A30D9">
        <w:rPr>
          <w:rFonts w:ascii="Arial" w:hAnsi="Arial" w:cs="Arial"/>
          <w:b/>
          <w:sz w:val="24"/>
          <w:szCs w:val="24"/>
        </w:rPr>
        <w:t xml:space="preserve"> depósitos asegurables</w:t>
      </w:r>
    </w:p>
    <w:p w14:paraId="223A3EB0" w14:textId="77777777" w:rsidR="005D0C42" w:rsidRPr="009A30D9" w:rsidRDefault="005D0C42" w:rsidP="005D0C42">
      <w:pPr>
        <w:pStyle w:val="Prrafodelista"/>
        <w:spacing w:before="240" w:after="0" w:line="240" w:lineRule="auto"/>
        <w:ind w:left="1225"/>
        <w:jc w:val="both"/>
        <w:rPr>
          <w:rFonts w:ascii="Arial" w:hAnsi="Arial" w:cs="Arial"/>
          <w:b/>
          <w:sz w:val="24"/>
          <w:szCs w:val="24"/>
        </w:rPr>
      </w:pPr>
    </w:p>
    <w:p w14:paraId="2FB794E4" w14:textId="537FD6B7" w:rsidR="005757C7" w:rsidRPr="009A30D9" w:rsidRDefault="008A190B" w:rsidP="00F80354">
      <w:pPr>
        <w:pStyle w:val="Prrafodelista"/>
        <w:spacing w:before="24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9A30D9">
        <w:rPr>
          <w:rFonts w:ascii="Arial" w:hAnsi="Arial" w:cs="Arial"/>
          <w:sz w:val="24"/>
          <w:szCs w:val="24"/>
          <w:lang w:val="es-ES" w:eastAsia="es-ES"/>
        </w:rPr>
        <w:t xml:space="preserve">Se divide la reserva total </w:t>
      </w:r>
      <w:r w:rsidR="00515C8B">
        <w:rPr>
          <w:rFonts w:ascii="Arial" w:hAnsi="Arial" w:cs="Arial"/>
          <w:sz w:val="24"/>
          <w:szCs w:val="24"/>
          <w:lang w:val="es-ES" w:eastAsia="es-ES"/>
        </w:rPr>
        <w:t>proyectada</w:t>
      </w:r>
      <w:r w:rsidR="00515C8B" w:rsidRPr="009A30D9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Pr="009A30D9">
        <w:rPr>
          <w:rFonts w:ascii="Arial" w:hAnsi="Arial" w:cs="Arial"/>
          <w:sz w:val="24"/>
          <w:szCs w:val="24"/>
          <w:lang w:val="es-ES" w:eastAsia="es-ES"/>
        </w:rPr>
        <w:t xml:space="preserve">para el </w:t>
      </w:r>
      <w:r w:rsidR="00515C8B">
        <w:rPr>
          <w:rFonts w:ascii="Arial" w:hAnsi="Arial" w:cs="Arial"/>
          <w:sz w:val="24"/>
          <w:szCs w:val="24"/>
          <w:lang w:val="es-ES" w:eastAsia="es-ES"/>
        </w:rPr>
        <w:t>2029 y se divide entre</w:t>
      </w:r>
      <w:r w:rsidRPr="009A30D9">
        <w:rPr>
          <w:rFonts w:ascii="Arial" w:hAnsi="Arial" w:cs="Arial"/>
          <w:sz w:val="24"/>
          <w:szCs w:val="24"/>
          <w:lang w:val="es-ES" w:eastAsia="es-ES"/>
        </w:rPr>
        <w:t xml:space="preserve"> el valor de los depósitos asegurables </w:t>
      </w:r>
      <w:r w:rsidR="00515C8B">
        <w:rPr>
          <w:rFonts w:ascii="Arial" w:hAnsi="Arial" w:cs="Arial"/>
          <w:sz w:val="24"/>
          <w:szCs w:val="24"/>
          <w:lang w:val="es-ES" w:eastAsia="es-ES"/>
        </w:rPr>
        <w:t xml:space="preserve">proyectados </w:t>
      </w:r>
      <w:r w:rsidRPr="009A30D9">
        <w:rPr>
          <w:rFonts w:ascii="Arial" w:hAnsi="Arial" w:cs="Arial"/>
          <w:sz w:val="24"/>
          <w:szCs w:val="24"/>
          <w:lang w:val="es-ES" w:eastAsia="es-ES"/>
        </w:rPr>
        <w:t xml:space="preserve">para </w:t>
      </w:r>
      <w:r w:rsidR="00DA4873">
        <w:rPr>
          <w:rFonts w:ascii="Arial" w:hAnsi="Arial" w:cs="Arial"/>
          <w:sz w:val="24"/>
          <w:szCs w:val="24"/>
          <w:lang w:val="es-ES" w:eastAsia="es-ES"/>
        </w:rPr>
        <w:t>el mencionado</w:t>
      </w:r>
      <w:r w:rsidR="005A3D9B" w:rsidRPr="00DC470A">
        <w:rPr>
          <w:rFonts w:ascii="Arial" w:hAnsi="Arial" w:cs="Arial"/>
          <w:sz w:val="24"/>
          <w:szCs w:val="24"/>
        </w:rPr>
        <w:t xml:space="preserve"> año</w:t>
      </w:r>
      <w:r w:rsidR="005A3D9B" w:rsidRPr="009A30D9">
        <w:rPr>
          <w:rFonts w:ascii="Arial" w:hAnsi="Arial" w:cs="Arial"/>
        </w:rPr>
        <w:t>.</w:t>
      </w:r>
    </w:p>
    <w:p w14:paraId="07CA53FC" w14:textId="77777777" w:rsidR="00F80354" w:rsidRPr="009A30D9" w:rsidRDefault="00F80354" w:rsidP="00F80354">
      <w:pPr>
        <w:pStyle w:val="Prrafodelista"/>
        <w:spacing w:before="24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73A733C5" w14:textId="4479F197" w:rsidR="005757C7" w:rsidRPr="009A30D9" w:rsidRDefault="005757C7" w:rsidP="005757C7">
      <w:pPr>
        <w:pStyle w:val="Prrafodelista"/>
        <w:numPr>
          <w:ilvl w:val="0"/>
          <w:numId w:val="1"/>
        </w:num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30D9">
        <w:rPr>
          <w:rFonts w:ascii="Arial" w:hAnsi="Arial" w:cs="Arial"/>
          <w:b/>
          <w:sz w:val="24"/>
          <w:szCs w:val="24"/>
        </w:rPr>
        <w:t>CÁLCULO DEL COEFICIENTE DE AJUSTE</w:t>
      </w:r>
    </w:p>
    <w:p w14:paraId="58774FE5" w14:textId="075E78C2" w:rsidR="00920EE2" w:rsidRDefault="005757C7" w:rsidP="00750A1E">
      <w:pPr>
        <w:spacing w:before="240"/>
        <w:ind w:left="426"/>
        <w:jc w:val="both"/>
        <w:rPr>
          <w:rFonts w:ascii="Arial" w:hAnsi="Arial" w:cs="Arial"/>
        </w:rPr>
      </w:pPr>
      <w:r w:rsidRPr="009A30D9">
        <w:rPr>
          <w:rFonts w:ascii="Arial" w:hAnsi="Arial" w:cs="Arial"/>
        </w:rPr>
        <w:t xml:space="preserve">Una vez se tiene el valor de la razón reserva </w:t>
      </w:r>
      <w:r w:rsidR="00C276B3">
        <w:rPr>
          <w:rFonts w:ascii="Arial" w:hAnsi="Arial" w:cs="Arial"/>
        </w:rPr>
        <w:t>de</w:t>
      </w:r>
      <w:r w:rsidR="004E35CC">
        <w:rPr>
          <w:rFonts w:ascii="Arial" w:hAnsi="Arial" w:cs="Arial"/>
        </w:rPr>
        <w:t>l</w:t>
      </w:r>
      <w:r w:rsidR="00C276B3">
        <w:rPr>
          <w:rFonts w:ascii="Arial" w:hAnsi="Arial" w:cs="Arial"/>
        </w:rPr>
        <w:t xml:space="preserve"> Seguro de Depósitos</w:t>
      </w:r>
      <w:r w:rsidR="00C276B3" w:rsidRPr="009A30D9">
        <w:rPr>
          <w:rFonts w:ascii="Arial" w:hAnsi="Arial" w:cs="Arial"/>
        </w:rPr>
        <w:t xml:space="preserve"> </w:t>
      </w:r>
      <w:r w:rsidR="00C276B3">
        <w:rPr>
          <w:rFonts w:ascii="Arial" w:hAnsi="Arial" w:cs="Arial"/>
        </w:rPr>
        <w:t>sobre los</w:t>
      </w:r>
      <w:r w:rsidR="00C276B3" w:rsidRPr="009A30D9">
        <w:rPr>
          <w:rFonts w:ascii="Arial" w:hAnsi="Arial" w:cs="Arial"/>
        </w:rPr>
        <w:t xml:space="preserve"> </w:t>
      </w:r>
      <w:r w:rsidRPr="009A30D9">
        <w:rPr>
          <w:rFonts w:ascii="Arial" w:hAnsi="Arial" w:cs="Arial"/>
        </w:rPr>
        <w:t>depósitos asegurables</w:t>
      </w:r>
      <w:r w:rsidR="00C276B3">
        <w:rPr>
          <w:rFonts w:ascii="Arial" w:hAnsi="Arial" w:cs="Arial"/>
        </w:rPr>
        <w:t>,</w:t>
      </w:r>
      <w:r w:rsidR="009A30D9">
        <w:rPr>
          <w:rFonts w:ascii="Arial" w:hAnsi="Arial" w:cs="Arial"/>
        </w:rPr>
        <w:t xml:space="preserve"> proyectada hasta el año meta 2029</w:t>
      </w:r>
      <w:r w:rsidRPr="009A30D9">
        <w:rPr>
          <w:rFonts w:ascii="Arial" w:hAnsi="Arial" w:cs="Arial"/>
        </w:rPr>
        <w:t xml:space="preserve">, se compara con el </w:t>
      </w:r>
      <w:r w:rsidR="00750A1E">
        <w:rPr>
          <w:rFonts w:ascii="Arial" w:hAnsi="Arial" w:cs="Arial"/>
        </w:rPr>
        <w:t>punto</w:t>
      </w:r>
      <w:r w:rsidRPr="009A30D9">
        <w:rPr>
          <w:rFonts w:ascii="Arial" w:hAnsi="Arial" w:cs="Arial"/>
        </w:rPr>
        <w:t xml:space="preserve"> medio de la reserva objetivo</w:t>
      </w:r>
      <w:r w:rsidR="00750A1E">
        <w:rPr>
          <w:rStyle w:val="Refdenotaalpie"/>
          <w:rFonts w:ascii="Arial" w:hAnsi="Arial" w:cs="Arial"/>
        </w:rPr>
        <w:footnoteReference w:id="1"/>
      </w:r>
      <w:r w:rsidRPr="009A30D9">
        <w:rPr>
          <w:rFonts w:ascii="Arial" w:hAnsi="Arial" w:cs="Arial"/>
        </w:rPr>
        <w:t xml:space="preserve"> (5.3%)</w:t>
      </w:r>
      <w:r w:rsidR="009A30D9">
        <w:rPr>
          <w:rFonts w:ascii="Arial" w:hAnsi="Arial" w:cs="Arial"/>
        </w:rPr>
        <w:t>.</w:t>
      </w:r>
      <w:r w:rsidRPr="009A30D9">
        <w:rPr>
          <w:rFonts w:ascii="Arial" w:hAnsi="Arial" w:cs="Arial"/>
        </w:rPr>
        <w:t xml:space="preserve"> Si el valor de la razón reserva </w:t>
      </w:r>
      <w:r w:rsidR="00C276B3">
        <w:rPr>
          <w:rFonts w:ascii="Arial" w:hAnsi="Arial" w:cs="Arial"/>
        </w:rPr>
        <w:t>de</w:t>
      </w:r>
      <w:r w:rsidR="004E35CC">
        <w:rPr>
          <w:rFonts w:ascii="Arial" w:hAnsi="Arial" w:cs="Arial"/>
        </w:rPr>
        <w:t>l</w:t>
      </w:r>
      <w:r w:rsidR="00C276B3">
        <w:rPr>
          <w:rFonts w:ascii="Arial" w:hAnsi="Arial" w:cs="Arial"/>
        </w:rPr>
        <w:t xml:space="preserve"> Seguro de Depósitos</w:t>
      </w:r>
      <w:r w:rsidRPr="009A30D9">
        <w:rPr>
          <w:rFonts w:ascii="Arial" w:hAnsi="Arial" w:cs="Arial"/>
        </w:rPr>
        <w:t xml:space="preserve"> </w:t>
      </w:r>
      <w:r w:rsidR="00C276B3">
        <w:rPr>
          <w:rFonts w:ascii="Arial" w:hAnsi="Arial" w:cs="Arial"/>
        </w:rPr>
        <w:t xml:space="preserve">sobre los </w:t>
      </w:r>
      <w:r w:rsidRPr="009A30D9">
        <w:rPr>
          <w:rFonts w:ascii="Arial" w:hAnsi="Arial" w:cs="Arial"/>
        </w:rPr>
        <w:t>depósitos</w:t>
      </w:r>
      <w:r w:rsidR="00C276B3">
        <w:rPr>
          <w:rFonts w:ascii="Arial" w:hAnsi="Arial" w:cs="Arial"/>
        </w:rPr>
        <w:t xml:space="preserve"> asegurables</w:t>
      </w:r>
      <w:r w:rsidR="00920EE2">
        <w:rPr>
          <w:rFonts w:ascii="Arial" w:hAnsi="Arial" w:cs="Arial"/>
        </w:rPr>
        <w:t>,</w:t>
      </w:r>
      <w:r w:rsidRPr="009A30D9">
        <w:rPr>
          <w:rFonts w:ascii="Arial" w:hAnsi="Arial" w:cs="Arial"/>
        </w:rPr>
        <w:t xml:space="preserve"> es mayor </w:t>
      </w:r>
      <w:r w:rsidR="00750A1E">
        <w:rPr>
          <w:rFonts w:ascii="Arial" w:hAnsi="Arial" w:cs="Arial"/>
        </w:rPr>
        <w:t>al</w:t>
      </w:r>
      <w:r w:rsidR="00750A1E" w:rsidRPr="009A30D9">
        <w:rPr>
          <w:rFonts w:ascii="Arial" w:hAnsi="Arial" w:cs="Arial"/>
        </w:rPr>
        <w:t xml:space="preserve"> </w:t>
      </w:r>
      <w:r w:rsidR="00750A1E">
        <w:rPr>
          <w:rFonts w:ascii="Arial" w:hAnsi="Arial" w:cs="Arial"/>
        </w:rPr>
        <w:t>punto</w:t>
      </w:r>
      <w:r w:rsidR="00750A1E" w:rsidRPr="009A30D9">
        <w:rPr>
          <w:rFonts w:ascii="Arial" w:hAnsi="Arial" w:cs="Arial"/>
        </w:rPr>
        <w:t xml:space="preserve"> medio de la reserva objetivo</w:t>
      </w:r>
      <w:r w:rsidRPr="009A30D9">
        <w:rPr>
          <w:rFonts w:ascii="Arial" w:hAnsi="Arial" w:cs="Arial"/>
        </w:rPr>
        <w:t xml:space="preserve">, el coeficiente para el año siguiente al </w:t>
      </w:r>
      <w:r w:rsidR="00584287" w:rsidRPr="009A30D9">
        <w:rPr>
          <w:rFonts w:ascii="Arial" w:hAnsi="Arial" w:cs="Arial"/>
        </w:rPr>
        <w:t>cálculo</w:t>
      </w:r>
      <w:r w:rsidR="00C276B3">
        <w:rPr>
          <w:rFonts w:ascii="Arial" w:hAnsi="Arial" w:cs="Arial"/>
        </w:rPr>
        <w:t xml:space="preserve"> </w:t>
      </w:r>
      <w:r w:rsidR="00C276B3" w:rsidRPr="00F040FE">
        <w:rPr>
          <w:rFonts w:ascii="Arial" w:hAnsi="Arial" w:cs="Arial"/>
        </w:rPr>
        <w:t>será cero (0)</w:t>
      </w:r>
      <w:r w:rsidRPr="009A30D9">
        <w:rPr>
          <w:rFonts w:ascii="Arial" w:hAnsi="Arial" w:cs="Arial"/>
        </w:rPr>
        <w:t xml:space="preserve">. </w:t>
      </w:r>
    </w:p>
    <w:p w14:paraId="4EFBDADB" w14:textId="4E4B5EA0" w:rsidR="00D25654" w:rsidRPr="009A30D9" w:rsidRDefault="005757C7" w:rsidP="00750A1E">
      <w:pPr>
        <w:spacing w:before="240"/>
        <w:ind w:left="426"/>
        <w:jc w:val="both"/>
        <w:rPr>
          <w:rFonts w:ascii="Arial" w:hAnsi="Arial" w:cs="Arial"/>
        </w:rPr>
      </w:pPr>
      <w:r w:rsidRPr="009A30D9">
        <w:rPr>
          <w:rFonts w:ascii="Arial" w:hAnsi="Arial" w:cs="Arial"/>
        </w:rPr>
        <w:t xml:space="preserve">Por </w:t>
      </w:r>
      <w:r w:rsidR="00C276B3">
        <w:rPr>
          <w:rFonts w:ascii="Arial" w:hAnsi="Arial" w:cs="Arial"/>
        </w:rPr>
        <w:t>el</w:t>
      </w:r>
      <w:r w:rsidR="00C276B3" w:rsidRPr="009A30D9">
        <w:rPr>
          <w:rFonts w:ascii="Arial" w:hAnsi="Arial" w:cs="Arial"/>
        </w:rPr>
        <w:t xml:space="preserve"> </w:t>
      </w:r>
      <w:r w:rsidRPr="009A30D9">
        <w:rPr>
          <w:rFonts w:ascii="Arial" w:hAnsi="Arial" w:cs="Arial"/>
        </w:rPr>
        <w:t xml:space="preserve">contrario, si el valor de la razón reserva </w:t>
      </w:r>
      <w:r w:rsidR="00C276B3">
        <w:rPr>
          <w:rFonts w:ascii="Arial" w:hAnsi="Arial" w:cs="Arial"/>
        </w:rPr>
        <w:t>de</w:t>
      </w:r>
      <w:r w:rsidR="004E35CC">
        <w:rPr>
          <w:rFonts w:ascii="Arial" w:hAnsi="Arial" w:cs="Arial"/>
        </w:rPr>
        <w:t>l</w:t>
      </w:r>
      <w:r w:rsidR="00C276B3">
        <w:rPr>
          <w:rFonts w:ascii="Arial" w:hAnsi="Arial" w:cs="Arial"/>
        </w:rPr>
        <w:t xml:space="preserve"> Seguro de Depósitos</w:t>
      </w:r>
      <w:r w:rsidR="00C276B3" w:rsidRPr="009A30D9">
        <w:rPr>
          <w:rFonts w:ascii="Arial" w:hAnsi="Arial" w:cs="Arial"/>
        </w:rPr>
        <w:t xml:space="preserve"> </w:t>
      </w:r>
      <w:r w:rsidR="00C276B3">
        <w:rPr>
          <w:rFonts w:ascii="Arial" w:hAnsi="Arial" w:cs="Arial"/>
        </w:rPr>
        <w:t xml:space="preserve">sobre los </w:t>
      </w:r>
      <w:r w:rsidR="00C276B3" w:rsidRPr="009A30D9">
        <w:rPr>
          <w:rFonts w:ascii="Arial" w:hAnsi="Arial" w:cs="Arial"/>
        </w:rPr>
        <w:t>depósitos</w:t>
      </w:r>
      <w:r w:rsidR="00C276B3">
        <w:rPr>
          <w:rFonts w:ascii="Arial" w:hAnsi="Arial" w:cs="Arial"/>
        </w:rPr>
        <w:t xml:space="preserve"> asegurables</w:t>
      </w:r>
      <w:r w:rsidR="00920EE2">
        <w:rPr>
          <w:rFonts w:ascii="Arial" w:hAnsi="Arial" w:cs="Arial"/>
        </w:rPr>
        <w:t>,</w:t>
      </w:r>
      <w:r w:rsidRPr="009A30D9">
        <w:rPr>
          <w:rFonts w:ascii="Arial" w:hAnsi="Arial" w:cs="Arial"/>
        </w:rPr>
        <w:t xml:space="preserve"> es menor </w:t>
      </w:r>
      <w:r w:rsidR="00750A1E">
        <w:rPr>
          <w:rFonts w:ascii="Arial" w:hAnsi="Arial" w:cs="Arial"/>
        </w:rPr>
        <w:t>al</w:t>
      </w:r>
      <w:r w:rsidR="00750A1E" w:rsidRPr="009A30D9">
        <w:rPr>
          <w:rFonts w:ascii="Arial" w:hAnsi="Arial" w:cs="Arial"/>
        </w:rPr>
        <w:t xml:space="preserve"> </w:t>
      </w:r>
      <w:r w:rsidR="00750A1E">
        <w:rPr>
          <w:rFonts w:ascii="Arial" w:hAnsi="Arial" w:cs="Arial"/>
        </w:rPr>
        <w:t>punto</w:t>
      </w:r>
      <w:r w:rsidR="00750A1E" w:rsidRPr="009A30D9">
        <w:rPr>
          <w:rFonts w:ascii="Arial" w:hAnsi="Arial" w:cs="Arial"/>
        </w:rPr>
        <w:t xml:space="preserve"> medio de la reserva objetivo</w:t>
      </w:r>
      <w:r w:rsidRPr="009A30D9">
        <w:rPr>
          <w:rFonts w:ascii="Arial" w:hAnsi="Arial" w:cs="Arial"/>
        </w:rPr>
        <w:t xml:space="preserve">, se </w:t>
      </w:r>
      <w:r w:rsidR="00C276B3">
        <w:rPr>
          <w:rFonts w:ascii="Arial" w:hAnsi="Arial" w:cs="Arial"/>
        </w:rPr>
        <w:t>calcula</w:t>
      </w:r>
      <w:r w:rsidR="00C276B3" w:rsidRPr="009A30D9">
        <w:rPr>
          <w:rFonts w:ascii="Arial" w:hAnsi="Arial" w:cs="Arial"/>
        </w:rPr>
        <w:t xml:space="preserve"> </w:t>
      </w:r>
      <w:r w:rsidRPr="009A30D9">
        <w:rPr>
          <w:rFonts w:ascii="Arial" w:hAnsi="Arial" w:cs="Arial"/>
        </w:rPr>
        <w:t xml:space="preserve">el valor del coeficiente de ajuste </w:t>
      </w:r>
      <w:r w:rsidR="00C276B3">
        <w:rPr>
          <w:rFonts w:ascii="Arial" w:hAnsi="Arial" w:cs="Arial"/>
        </w:rPr>
        <w:t xml:space="preserve">de </w:t>
      </w:r>
      <w:r w:rsidRPr="009A30D9">
        <w:rPr>
          <w:rFonts w:ascii="Arial" w:hAnsi="Arial" w:cs="Arial"/>
        </w:rPr>
        <w:t>tal</w:t>
      </w:r>
      <w:r w:rsidR="00C276B3">
        <w:rPr>
          <w:rFonts w:ascii="Arial" w:hAnsi="Arial" w:cs="Arial"/>
        </w:rPr>
        <w:t xml:space="preserve"> forma</w:t>
      </w:r>
      <w:r w:rsidRPr="009A30D9">
        <w:rPr>
          <w:rFonts w:ascii="Arial" w:hAnsi="Arial" w:cs="Arial"/>
        </w:rPr>
        <w:t xml:space="preserve"> que la razón </w:t>
      </w:r>
      <w:r w:rsidR="00C276B3">
        <w:rPr>
          <w:rFonts w:ascii="Arial" w:hAnsi="Arial" w:cs="Arial"/>
        </w:rPr>
        <w:t>mencionada,</w:t>
      </w:r>
      <w:r w:rsidR="00584287">
        <w:rPr>
          <w:rFonts w:ascii="Arial" w:hAnsi="Arial" w:cs="Arial"/>
        </w:rPr>
        <w:t xml:space="preserve"> </w:t>
      </w:r>
      <w:r w:rsidR="00F80354" w:rsidRPr="009A30D9">
        <w:rPr>
          <w:rFonts w:ascii="Arial" w:hAnsi="Arial" w:cs="Arial"/>
        </w:rPr>
        <w:t xml:space="preserve">al final del </w:t>
      </w:r>
      <w:r w:rsidR="00C276B3">
        <w:rPr>
          <w:rFonts w:ascii="Arial" w:hAnsi="Arial" w:cs="Arial"/>
        </w:rPr>
        <w:t>año 2029,</w:t>
      </w:r>
      <w:r w:rsidR="00F80354" w:rsidRPr="009A30D9">
        <w:rPr>
          <w:rFonts w:ascii="Arial" w:hAnsi="Arial" w:cs="Arial"/>
        </w:rPr>
        <w:t xml:space="preserve"> </w:t>
      </w:r>
      <w:r w:rsidRPr="009A30D9">
        <w:rPr>
          <w:rFonts w:ascii="Arial" w:hAnsi="Arial" w:cs="Arial"/>
        </w:rPr>
        <w:t xml:space="preserve">sea igual </w:t>
      </w:r>
      <w:r w:rsidR="00750A1E">
        <w:rPr>
          <w:rFonts w:ascii="Arial" w:hAnsi="Arial" w:cs="Arial"/>
        </w:rPr>
        <w:t>al</w:t>
      </w:r>
      <w:r w:rsidR="00750A1E" w:rsidRPr="009A30D9">
        <w:rPr>
          <w:rFonts w:ascii="Arial" w:hAnsi="Arial" w:cs="Arial"/>
        </w:rPr>
        <w:t xml:space="preserve"> </w:t>
      </w:r>
      <w:r w:rsidR="00750A1E">
        <w:rPr>
          <w:rFonts w:ascii="Arial" w:hAnsi="Arial" w:cs="Arial"/>
        </w:rPr>
        <w:t>punto</w:t>
      </w:r>
      <w:r w:rsidR="00750A1E" w:rsidRPr="009A30D9">
        <w:rPr>
          <w:rFonts w:ascii="Arial" w:hAnsi="Arial" w:cs="Arial"/>
        </w:rPr>
        <w:t xml:space="preserve"> medio de la reserva objetivo</w:t>
      </w:r>
      <w:r w:rsidR="00C276B3">
        <w:rPr>
          <w:rFonts w:ascii="Arial" w:hAnsi="Arial" w:cs="Arial"/>
        </w:rPr>
        <w:t xml:space="preserve"> (5.3%)</w:t>
      </w:r>
      <w:r w:rsidR="00750A1E">
        <w:rPr>
          <w:rFonts w:ascii="Arial" w:hAnsi="Arial" w:cs="Arial"/>
        </w:rPr>
        <w:t>.</w:t>
      </w:r>
    </w:p>
    <w:p w14:paraId="28EE0A1E" w14:textId="7D1E2B82" w:rsidR="00D25654" w:rsidRPr="009A30D9" w:rsidRDefault="00D25654" w:rsidP="00C507D9">
      <w:pPr>
        <w:pStyle w:val="Prrafodelista"/>
        <w:numPr>
          <w:ilvl w:val="0"/>
          <w:numId w:val="1"/>
        </w:num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30D9">
        <w:rPr>
          <w:rFonts w:ascii="Arial" w:hAnsi="Arial" w:cs="Arial"/>
          <w:b/>
          <w:sz w:val="24"/>
          <w:szCs w:val="24"/>
        </w:rPr>
        <w:t>CONSIDERACIONES FINALES</w:t>
      </w:r>
    </w:p>
    <w:p w14:paraId="7D054C47" w14:textId="3CD78331" w:rsidR="003C62B8" w:rsidRPr="009A30D9" w:rsidRDefault="002070BE" w:rsidP="00031B72">
      <w:pPr>
        <w:spacing w:before="24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todo, y a fin de determinar el coeficiente </w:t>
      </w:r>
      <w:r w:rsidR="004E35CC">
        <w:rPr>
          <w:rFonts w:ascii="Arial" w:hAnsi="Arial" w:cs="Arial"/>
        </w:rPr>
        <w:t xml:space="preserve">de </w:t>
      </w:r>
      <w:bookmarkStart w:id="2" w:name="_GoBack"/>
      <w:bookmarkEnd w:id="2"/>
      <w:r>
        <w:rPr>
          <w:rFonts w:ascii="Arial" w:hAnsi="Arial" w:cs="Arial"/>
        </w:rPr>
        <w:t xml:space="preserve">ajuste anual, hasta el 2029, Fogafín calculará </w:t>
      </w:r>
      <w:r w:rsidR="00F80354" w:rsidRPr="009A30D9">
        <w:rPr>
          <w:rFonts w:ascii="Arial" w:hAnsi="Arial" w:cs="Arial"/>
        </w:rPr>
        <w:t>el coeficiente de ajuste</w:t>
      </w:r>
      <w:r>
        <w:rPr>
          <w:rFonts w:ascii="Arial" w:hAnsi="Arial" w:cs="Arial"/>
        </w:rPr>
        <w:t xml:space="preserve"> correspondiente a cada año</w:t>
      </w:r>
      <w:r w:rsidR="00031B72">
        <w:rPr>
          <w:rFonts w:ascii="Arial" w:hAnsi="Arial" w:cs="Arial"/>
        </w:rPr>
        <w:t xml:space="preserve"> y lo </w:t>
      </w:r>
      <w:r w:rsidR="009A30D9">
        <w:rPr>
          <w:rFonts w:ascii="Arial" w:hAnsi="Arial" w:cs="Arial"/>
        </w:rPr>
        <w:t xml:space="preserve">informará </w:t>
      </w:r>
      <w:r w:rsidR="003C62B8" w:rsidRPr="009A30D9">
        <w:rPr>
          <w:rFonts w:ascii="Arial" w:hAnsi="Arial" w:cs="Arial"/>
        </w:rPr>
        <w:t>a las entidades en el último trimestre</w:t>
      </w:r>
      <w:r>
        <w:rPr>
          <w:rFonts w:ascii="Arial" w:hAnsi="Arial" w:cs="Arial"/>
        </w:rPr>
        <w:t xml:space="preserve"> del año </w:t>
      </w:r>
      <w:r w:rsidR="00B92AFE">
        <w:rPr>
          <w:rFonts w:ascii="Arial" w:hAnsi="Arial" w:cs="Arial"/>
        </w:rPr>
        <w:t>anterior a su aplicabilidad</w:t>
      </w:r>
      <w:r w:rsidR="003C62B8" w:rsidRPr="009A30D9">
        <w:rPr>
          <w:rFonts w:ascii="Arial" w:hAnsi="Arial" w:cs="Arial"/>
        </w:rPr>
        <w:t xml:space="preserve">. </w:t>
      </w:r>
    </w:p>
    <w:p w14:paraId="5F7740FE" w14:textId="77777777" w:rsidR="003C62B8" w:rsidRPr="009A30D9" w:rsidRDefault="003C62B8" w:rsidP="00C507D9">
      <w:pPr>
        <w:rPr>
          <w:rFonts w:ascii="Arial" w:hAnsi="Arial" w:cs="Arial"/>
        </w:rPr>
      </w:pPr>
    </w:p>
    <w:p w14:paraId="3A48E265" w14:textId="77777777" w:rsidR="00DF17F0" w:rsidRPr="009A30D9" w:rsidRDefault="00DF17F0" w:rsidP="00C507D9">
      <w:pPr>
        <w:jc w:val="both"/>
        <w:rPr>
          <w:rFonts w:ascii="Arial" w:hAnsi="Arial" w:cs="Arial"/>
        </w:rPr>
      </w:pPr>
      <w:r w:rsidRPr="009A30D9">
        <w:rPr>
          <w:rFonts w:ascii="Arial" w:hAnsi="Arial" w:cs="Arial"/>
        </w:rPr>
        <w:t>Esta Circular rige a partir de su expedición.</w:t>
      </w:r>
    </w:p>
    <w:p w14:paraId="19221688" w14:textId="77777777" w:rsidR="00DF17F0" w:rsidRPr="009A30D9" w:rsidRDefault="00DF17F0" w:rsidP="00C507D9">
      <w:pPr>
        <w:jc w:val="both"/>
        <w:rPr>
          <w:rFonts w:ascii="Arial" w:hAnsi="Arial" w:cs="Arial"/>
        </w:rPr>
      </w:pPr>
    </w:p>
    <w:p w14:paraId="4BC73114" w14:textId="77777777" w:rsidR="00DF17F0" w:rsidRPr="009A30D9" w:rsidRDefault="00DF17F0" w:rsidP="00C507D9">
      <w:pPr>
        <w:jc w:val="both"/>
        <w:rPr>
          <w:rFonts w:ascii="Arial" w:hAnsi="Arial" w:cs="Arial"/>
        </w:rPr>
      </w:pPr>
      <w:r w:rsidRPr="009A30D9">
        <w:rPr>
          <w:rFonts w:ascii="Arial" w:hAnsi="Arial" w:cs="Arial"/>
        </w:rPr>
        <w:t>Cordialmente,</w:t>
      </w:r>
    </w:p>
    <w:p w14:paraId="33B2A5A8" w14:textId="77777777" w:rsidR="00DF17F0" w:rsidRPr="009A30D9" w:rsidRDefault="00DF17F0" w:rsidP="00C507D9">
      <w:pPr>
        <w:jc w:val="both"/>
        <w:rPr>
          <w:rFonts w:ascii="Arial" w:hAnsi="Arial" w:cs="Arial"/>
        </w:rPr>
      </w:pPr>
    </w:p>
    <w:p w14:paraId="31396BBB" w14:textId="77777777" w:rsidR="00DF17F0" w:rsidRPr="009A30D9" w:rsidRDefault="00DF17F0" w:rsidP="00C507D9">
      <w:pPr>
        <w:jc w:val="both"/>
        <w:rPr>
          <w:rFonts w:ascii="Arial" w:hAnsi="Arial" w:cs="Arial"/>
        </w:rPr>
      </w:pPr>
    </w:p>
    <w:p w14:paraId="02E6B0EA" w14:textId="77777777" w:rsidR="00DF17F0" w:rsidRPr="009A30D9" w:rsidRDefault="00DF17F0" w:rsidP="00C507D9">
      <w:pPr>
        <w:jc w:val="both"/>
        <w:rPr>
          <w:rFonts w:ascii="Arial" w:hAnsi="Arial" w:cs="Arial"/>
          <w:b/>
        </w:rPr>
      </w:pPr>
      <w:r w:rsidRPr="009A30D9">
        <w:rPr>
          <w:rFonts w:ascii="Arial" w:hAnsi="Arial" w:cs="Arial"/>
          <w:b/>
        </w:rPr>
        <w:t>GERMÁN EDUARDO QUINTERO ROJAS</w:t>
      </w:r>
      <w:r w:rsidRPr="009A30D9">
        <w:rPr>
          <w:rFonts w:ascii="Arial" w:hAnsi="Arial" w:cs="Arial"/>
          <w:b/>
        </w:rPr>
        <w:tab/>
        <w:t>DINA MARÍA OLMOS APONTE</w:t>
      </w:r>
    </w:p>
    <w:p w14:paraId="7BF42EFB" w14:textId="1B1024B1" w:rsidR="005F44F9" w:rsidRPr="009A30D9" w:rsidRDefault="00DF17F0" w:rsidP="000C5123">
      <w:pPr>
        <w:jc w:val="both"/>
        <w:rPr>
          <w:rFonts w:ascii="Arial" w:hAnsi="Arial" w:cs="Arial"/>
          <w:b/>
        </w:rPr>
      </w:pPr>
      <w:r w:rsidRPr="009A30D9">
        <w:rPr>
          <w:rFonts w:ascii="Arial" w:hAnsi="Arial" w:cs="Arial"/>
        </w:rPr>
        <w:t>Director (E)</w:t>
      </w:r>
      <w:r w:rsidRPr="009A30D9">
        <w:rPr>
          <w:rFonts w:ascii="Arial" w:hAnsi="Arial" w:cs="Arial"/>
        </w:rPr>
        <w:tab/>
      </w:r>
      <w:r w:rsidRPr="009A30D9">
        <w:rPr>
          <w:rFonts w:ascii="Arial" w:hAnsi="Arial" w:cs="Arial"/>
        </w:rPr>
        <w:tab/>
      </w:r>
      <w:r w:rsidRPr="009A30D9">
        <w:rPr>
          <w:rFonts w:ascii="Arial" w:hAnsi="Arial" w:cs="Arial"/>
        </w:rPr>
        <w:tab/>
      </w:r>
      <w:r w:rsidRPr="009A30D9">
        <w:rPr>
          <w:rFonts w:ascii="Arial" w:hAnsi="Arial" w:cs="Arial"/>
        </w:rPr>
        <w:tab/>
      </w:r>
      <w:r w:rsidRPr="009A30D9">
        <w:rPr>
          <w:rFonts w:ascii="Arial" w:hAnsi="Arial" w:cs="Arial"/>
        </w:rPr>
        <w:tab/>
      </w:r>
      <w:r w:rsidRPr="009A30D9">
        <w:rPr>
          <w:rFonts w:ascii="Arial" w:hAnsi="Arial" w:cs="Arial"/>
        </w:rPr>
        <w:tab/>
        <w:t xml:space="preserve">Subdirectora Corporativa </w:t>
      </w:r>
    </w:p>
    <w:sectPr w:rsidR="005F44F9" w:rsidRPr="009A30D9" w:rsidSect="00846EB3">
      <w:headerReference w:type="default" r:id="rId12"/>
      <w:footerReference w:type="default" r:id="rId13"/>
      <w:pgSz w:w="12242" w:h="15842" w:code="1"/>
      <w:pgMar w:top="1531" w:right="1418" w:bottom="1418" w:left="1701" w:header="1134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DED80" w14:textId="77777777" w:rsidR="00CE3FE9" w:rsidRDefault="00CE3FE9">
      <w:r>
        <w:separator/>
      </w:r>
    </w:p>
  </w:endnote>
  <w:endnote w:type="continuationSeparator" w:id="0">
    <w:p w14:paraId="7D43694A" w14:textId="77777777" w:rsidR="00CE3FE9" w:rsidRDefault="00CE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C14F" w14:textId="1E23D1A9" w:rsidR="00A209A4" w:rsidRPr="005F44F9" w:rsidRDefault="008B57CC" w:rsidP="008B57CC">
    <w:pPr>
      <w:pStyle w:val="Piedepgina"/>
      <w:rPr>
        <w:rFonts w:ascii="Arial" w:hAnsi="Arial" w:cs="Arial"/>
        <w:sz w:val="20"/>
        <w:szCs w:val="20"/>
        <w:lang w:val="pt-BR"/>
      </w:rPr>
    </w:pPr>
    <w:r>
      <w:rPr>
        <w:rFonts w:ascii="Arial" w:hAnsi="Arial" w:cs="Arial"/>
        <w:noProof/>
        <w:sz w:val="20"/>
        <w:szCs w:val="20"/>
        <w:lang w:val="pt-BR"/>
      </w:rPr>
      <w:drawing>
        <wp:anchor distT="0" distB="0" distL="114300" distR="114300" simplePos="0" relativeHeight="251661312" behindDoc="0" locked="0" layoutInCell="1" allowOverlap="1" wp14:anchorId="09425B0E" wp14:editId="51ABE5FA">
          <wp:simplePos x="0" y="0"/>
          <wp:positionH relativeFrom="column">
            <wp:posOffset>3606165</wp:posOffset>
          </wp:positionH>
          <wp:positionV relativeFrom="paragraph">
            <wp:posOffset>-27940</wp:posOffset>
          </wp:positionV>
          <wp:extent cx="2145600" cy="360000"/>
          <wp:effectExtent l="0" t="0" r="1270" b="0"/>
          <wp:wrapNone/>
          <wp:docPr id="18" name="Imagen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990F9" w14:textId="77777777" w:rsidR="00CE3FE9" w:rsidRDefault="00CE3FE9">
      <w:r>
        <w:separator/>
      </w:r>
    </w:p>
  </w:footnote>
  <w:footnote w:type="continuationSeparator" w:id="0">
    <w:p w14:paraId="3DBA7595" w14:textId="77777777" w:rsidR="00CE3FE9" w:rsidRDefault="00CE3FE9">
      <w:r>
        <w:continuationSeparator/>
      </w:r>
    </w:p>
  </w:footnote>
  <w:footnote w:id="1">
    <w:p w14:paraId="6389DAE0" w14:textId="23DF8FC6" w:rsidR="00750A1E" w:rsidRPr="00750A1E" w:rsidRDefault="00750A1E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Este valor es revisado periódicamente según disposición de la Junta Directiva de Fogafín.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45F34" w14:textId="77777777" w:rsidR="00A209A4" w:rsidRDefault="00DE3964">
    <w:pPr>
      <w:pStyle w:val="Encabezado"/>
    </w:pPr>
    <w:r w:rsidRPr="006563A9">
      <w:rPr>
        <w:noProof/>
      </w:rPr>
      <w:drawing>
        <wp:anchor distT="0" distB="0" distL="114300" distR="114300" simplePos="0" relativeHeight="251659264" behindDoc="1" locked="0" layoutInCell="1" allowOverlap="1" wp14:anchorId="76DE650D" wp14:editId="4CD7AE31">
          <wp:simplePos x="0" y="0"/>
          <wp:positionH relativeFrom="column">
            <wp:posOffset>0</wp:posOffset>
          </wp:positionH>
          <wp:positionV relativeFrom="paragraph">
            <wp:posOffset>-281989</wp:posOffset>
          </wp:positionV>
          <wp:extent cx="1486634" cy="678425"/>
          <wp:effectExtent l="0" t="0" r="0" b="0"/>
          <wp:wrapNone/>
          <wp:docPr id="6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34" cy="67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A232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7372B6"/>
    <w:multiLevelType w:val="hybridMultilevel"/>
    <w:tmpl w:val="1BC6F34A"/>
    <w:lvl w:ilvl="0" w:tplc="D8827440">
      <w:start w:val="1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577D1910"/>
    <w:multiLevelType w:val="multilevel"/>
    <w:tmpl w:val="F5DED7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D23E8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15"/>
    <w:rsid w:val="0001039C"/>
    <w:rsid w:val="00014A69"/>
    <w:rsid w:val="00015159"/>
    <w:rsid w:val="00017AAA"/>
    <w:rsid w:val="00022FB9"/>
    <w:rsid w:val="00031B72"/>
    <w:rsid w:val="000554F1"/>
    <w:rsid w:val="00060907"/>
    <w:rsid w:val="00061020"/>
    <w:rsid w:val="00066045"/>
    <w:rsid w:val="00073126"/>
    <w:rsid w:val="000772EF"/>
    <w:rsid w:val="00081726"/>
    <w:rsid w:val="00094536"/>
    <w:rsid w:val="000B07D5"/>
    <w:rsid w:val="000C5123"/>
    <w:rsid w:val="000E24CD"/>
    <w:rsid w:val="000E6FE4"/>
    <w:rsid w:val="000F7763"/>
    <w:rsid w:val="0011575F"/>
    <w:rsid w:val="0011582D"/>
    <w:rsid w:val="00121603"/>
    <w:rsid w:val="00123142"/>
    <w:rsid w:val="00123DF6"/>
    <w:rsid w:val="00131696"/>
    <w:rsid w:val="00143D5D"/>
    <w:rsid w:val="00183027"/>
    <w:rsid w:val="00193F53"/>
    <w:rsid w:val="001A639A"/>
    <w:rsid w:val="001A64A1"/>
    <w:rsid w:val="001D1882"/>
    <w:rsid w:val="001D48DC"/>
    <w:rsid w:val="001E4FC4"/>
    <w:rsid w:val="001E7CFF"/>
    <w:rsid w:val="001F790A"/>
    <w:rsid w:val="002070BE"/>
    <w:rsid w:val="0020746B"/>
    <w:rsid w:val="002103A1"/>
    <w:rsid w:val="00217CFA"/>
    <w:rsid w:val="00253F16"/>
    <w:rsid w:val="002561AF"/>
    <w:rsid w:val="00265CB9"/>
    <w:rsid w:val="002946F1"/>
    <w:rsid w:val="002B24F1"/>
    <w:rsid w:val="002B4E91"/>
    <w:rsid w:val="0031098A"/>
    <w:rsid w:val="003636B0"/>
    <w:rsid w:val="0038117F"/>
    <w:rsid w:val="00391802"/>
    <w:rsid w:val="003924C9"/>
    <w:rsid w:val="0039291B"/>
    <w:rsid w:val="003A137B"/>
    <w:rsid w:val="003C2CF3"/>
    <w:rsid w:val="003C62B8"/>
    <w:rsid w:val="003D0F36"/>
    <w:rsid w:val="003D4B8E"/>
    <w:rsid w:val="003E2DB6"/>
    <w:rsid w:val="003F3155"/>
    <w:rsid w:val="003F7277"/>
    <w:rsid w:val="003F7FA4"/>
    <w:rsid w:val="004105FA"/>
    <w:rsid w:val="0041755C"/>
    <w:rsid w:val="004262E2"/>
    <w:rsid w:val="004313A1"/>
    <w:rsid w:val="004379CB"/>
    <w:rsid w:val="00443C48"/>
    <w:rsid w:val="0046219C"/>
    <w:rsid w:val="00463C61"/>
    <w:rsid w:val="00476715"/>
    <w:rsid w:val="004A25E7"/>
    <w:rsid w:val="004B60FA"/>
    <w:rsid w:val="004C3BFF"/>
    <w:rsid w:val="004D1AD7"/>
    <w:rsid w:val="004D6CCE"/>
    <w:rsid w:val="004E035E"/>
    <w:rsid w:val="004E35CC"/>
    <w:rsid w:val="00515C8B"/>
    <w:rsid w:val="00533A47"/>
    <w:rsid w:val="005439C5"/>
    <w:rsid w:val="00545348"/>
    <w:rsid w:val="005462E1"/>
    <w:rsid w:val="0055500C"/>
    <w:rsid w:val="005551FB"/>
    <w:rsid w:val="00555CFE"/>
    <w:rsid w:val="005757C7"/>
    <w:rsid w:val="00584287"/>
    <w:rsid w:val="005849E1"/>
    <w:rsid w:val="00585B8A"/>
    <w:rsid w:val="005905DA"/>
    <w:rsid w:val="005A3312"/>
    <w:rsid w:val="005A3D9B"/>
    <w:rsid w:val="005A5BC4"/>
    <w:rsid w:val="005A6CDA"/>
    <w:rsid w:val="005B626F"/>
    <w:rsid w:val="005D0C42"/>
    <w:rsid w:val="005D12C5"/>
    <w:rsid w:val="005D45EA"/>
    <w:rsid w:val="005F0662"/>
    <w:rsid w:val="005F44DC"/>
    <w:rsid w:val="005F44F9"/>
    <w:rsid w:val="005F466F"/>
    <w:rsid w:val="005F7AAF"/>
    <w:rsid w:val="00620056"/>
    <w:rsid w:val="00632E23"/>
    <w:rsid w:val="00641F0C"/>
    <w:rsid w:val="00643F1B"/>
    <w:rsid w:val="00667F7B"/>
    <w:rsid w:val="00681D23"/>
    <w:rsid w:val="006D500C"/>
    <w:rsid w:val="006D6220"/>
    <w:rsid w:val="006F6229"/>
    <w:rsid w:val="00706171"/>
    <w:rsid w:val="00712AD5"/>
    <w:rsid w:val="00713445"/>
    <w:rsid w:val="00715494"/>
    <w:rsid w:val="0072586C"/>
    <w:rsid w:val="00727B4C"/>
    <w:rsid w:val="00740A76"/>
    <w:rsid w:val="00744DE2"/>
    <w:rsid w:val="00750A1E"/>
    <w:rsid w:val="00770257"/>
    <w:rsid w:val="0077327D"/>
    <w:rsid w:val="00773349"/>
    <w:rsid w:val="00780386"/>
    <w:rsid w:val="00784FD7"/>
    <w:rsid w:val="00785EF4"/>
    <w:rsid w:val="007C3E40"/>
    <w:rsid w:val="007C56D5"/>
    <w:rsid w:val="007E1117"/>
    <w:rsid w:val="007E2D8F"/>
    <w:rsid w:val="007F5F25"/>
    <w:rsid w:val="008008A1"/>
    <w:rsid w:val="00810500"/>
    <w:rsid w:val="00830710"/>
    <w:rsid w:val="00830950"/>
    <w:rsid w:val="00830BBF"/>
    <w:rsid w:val="00846EB3"/>
    <w:rsid w:val="00854064"/>
    <w:rsid w:val="0088189D"/>
    <w:rsid w:val="0089100A"/>
    <w:rsid w:val="00892EC8"/>
    <w:rsid w:val="008A190B"/>
    <w:rsid w:val="008B57CC"/>
    <w:rsid w:val="008C15C0"/>
    <w:rsid w:val="008C6BAB"/>
    <w:rsid w:val="008D44DF"/>
    <w:rsid w:val="00920EE2"/>
    <w:rsid w:val="00925530"/>
    <w:rsid w:val="0093130F"/>
    <w:rsid w:val="00962113"/>
    <w:rsid w:val="00970BD1"/>
    <w:rsid w:val="00976D74"/>
    <w:rsid w:val="00990B9A"/>
    <w:rsid w:val="009946A7"/>
    <w:rsid w:val="009A30D9"/>
    <w:rsid w:val="009B018E"/>
    <w:rsid w:val="009B772A"/>
    <w:rsid w:val="009E30D9"/>
    <w:rsid w:val="009E4858"/>
    <w:rsid w:val="009E7271"/>
    <w:rsid w:val="00A050B3"/>
    <w:rsid w:val="00A12287"/>
    <w:rsid w:val="00A209A4"/>
    <w:rsid w:val="00A242C7"/>
    <w:rsid w:val="00A32BA2"/>
    <w:rsid w:val="00A330C9"/>
    <w:rsid w:val="00A37626"/>
    <w:rsid w:val="00A4509E"/>
    <w:rsid w:val="00A50B94"/>
    <w:rsid w:val="00A91A39"/>
    <w:rsid w:val="00A93C48"/>
    <w:rsid w:val="00AA5251"/>
    <w:rsid w:val="00AA5C47"/>
    <w:rsid w:val="00AA6206"/>
    <w:rsid w:val="00AC5C3A"/>
    <w:rsid w:val="00AE20BE"/>
    <w:rsid w:val="00AE2500"/>
    <w:rsid w:val="00AF5797"/>
    <w:rsid w:val="00AF57E2"/>
    <w:rsid w:val="00AF69C2"/>
    <w:rsid w:val="00AF7639"/>
    <w:rsid w:val="00B01E48"/>
    <w:rsid w:val="00B377F6"/>
    <w:rsid w:val="00B4117A"/>
    <w:rsid w:val="00B4218F"/>
    <w:rsid w:val="00B6111F"/>
    <w:rsid w:val="00B712D6"/>
    <w:rsid w:val="00B92AFE"/>
    <w:rsid w:val="00BB368E"/>
    <w:rsid w:val="00BC5DC1"/>
    <w:rsid w:val="00BC63F3"/>
    <w:rsid w:val="00BC7ED9"/>
    <w:rsid w:val="00BD3122"/>
    <w:rsid w:val="00BE6E38"/>
    <w:rsid w:val="00C276B3"/>
    <w:rsid w:val="00C32C3B"/>
    <w:rsid w:val="00C507D9"/>
    <w:rsid w:val="00C550F0"/>
    <w:rsid w:val="00C77F56"/>
    <w:rsid w:val="00C942E7"/>
    <w:rsid w:val="00CE33B8"/>
    <w:rsid w:val="00CE3FE9"/>
    <w:rsid w:val="00D15797"/>
    <w:rsid w:val="00D17356"/>
    <w:rsid w:val="00D25654"/>
    <w:rsid w:val="00D56DF2"/>
    <w:rsid w:val="00D60928"/>
    <w:rsid w:val="00D767A6"/>
    <w:rsid w:val="00D82D63"/>
    <w:rsid w:val="00D911F4"/>
    <w:rsid w:val="00D91F84"/>
    <w:rsid w:val="00D93612"/>
    <w:rsid w:val="00DA1676"/>
    <w:rsid w:val="00DA4873"/>
    <w:rsid w:val="00DB0227"/>
    <w:rsid w:val="00DC406E"/>
    <w:rsid w:val="00DC470A"/>
    <w:rsid w:val="00DD13DC"/>
    <w:rsid w:val="00DE3964"/>
    <w:rsid w:val="00DE6F15"/>
    <w:rsid w:val="00DF17F0"/>
    <w:rsid w:val="00DF6802"/>
    <w:rsid w:val="00E01465"/>
    <w:rsid w:val="00E11881"/>
    <w:rsid w:val="00E13CF0"/>
    <w:rsid w:val="00E335E5"/>
    <w:rsid w:val="00E5104A"/>
    <w:rsid w:val="00E57C67"/>
    <w:rsid w:val="00E61A18"/>
    <w:rsid w:val="00E65664"/>
    <w:rsid w:val="00E7027C"/>
    <w:rsid w:val="00E7060D"/>
    <w:rsid w:val="00E84C40"/>
    <w:rsid w:val="00E864CD"/>
    <w:rsid w:val="00E93F14"/>
    <w:rsid w:val="00E951D7"/>
    <w:rsid w:val="00EA3A4B"/>
    <w:rsid w:val="00EB3B76"/>
    <w:rsid w:val="00ED0EB1"/>
    <w:rsid w:val="00ED199A"/>
    <w:rsid w:val="00ED3F3E"/>
    <w:rsid w:val="00EF172D"/>
    <w:rsid w:val="00F040FE"/>
    <w:rsid w:val="00F07ADC"/>
    <w:rsid w:val="00F10871"/>
    <w:rsid w:val="00F16FC6"/>
    <w:rsid w:val="00F474A2"/>
    <w:rsid w:val="00F80354"/>
    <w:rsid w:val="00F96661"/>
    <w:rsid w:val="00FA2A55"/>
    <w:rsid w:val="00FA4B77"/>
    <w:rsid w:val="00FB1CD3"/>
    <w:rsid w:val="00FB284D"/>
    <w:rsid w:val="00FD0373"/>
    <w:rsid w:val="00FE363D"/>
    <w:rsid w:val="00FE5E35"/>
    <w:rsid w:val="00FE7AC7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A1A4D50"/>
  <w15:chartTrackingRefBased/>
  <w15:docId w15:val="{3B9A8FC4-3214-6049-81F8-D1236866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1735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D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439C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rsid w:val="005F44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F44F9"/>
  </w:style>
  <w:style w:type="character" w:customStyle="1" w:styleId="PiedepginaCar">
    <w:name w:val="Pie de página Car"/>
    <w:link w:val="Piedepgina"/>
    <w:locked/>
    <w:rsid w:val="009946A7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73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Refdecomentario">
    <w:name w:val="annotation reference"/>
    <w:basedOn w:val="Fuentedeprrafopredeter"/>
    <w:uiPriority w:val="99"/>
    <w:unhideWhenUsed/>
    <w:rsid w:val="00D173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17356"/>
    <w:pPr>
      <w:spacing w:after="160"/>
    </w:pPr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17356"/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rsid w:val="00D173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17356"/>
    <w:rPr>
      <w:rFonts w:ascii="Segoe UI" w:hAnsi="Segoe UI" w:cs="Segoe UI"/>
      <w:sz w:val="18"/>
      <w:szCs w:val="18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F44DC"/>
    <w:rPr>
      <w:color w:val="80808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767A6"/>
    <w:pPr>
      <w:spacing w:after="0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D767A6"/>
    <w:rPr>
      <w:rFonts w:asciiTheme="minorHAnsi" w:eastAsiaTheme="minorHAnsi" w:hAnsiTheme="minorHAnsi" w:cstheme="minorBidi"/>
      <w:b/>
      <w:bCs/>
      <w:lang w:val="es-ES" w:eastAsia="es-ES"/>
    </w:rPr>
  </w:style>
  <w:style w:type="paragraph" w:styleId="Prrafodelista">
    <w:name w:val="List Paragraph"/>
    <w:basedOn w:val="Normal"/>
    <w:uiPriority w:val="99"/>
    <w:qFormat/>
    <w:rsid w:val="005D45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styleId="nfasis">
    <w:name w:val="Emphasis"/>
    <w:uiPriority w:val="20"/>
    <w:qFormat/>
    <w:rsid w:val="005D45EA"/>
    <w:rPr>
      <w:i/>
      <w:iCs/>
    </w:rPr>
  </w:style>
  <w:style w:type="character" w:customStyle="1" w:styleId="apple-converted-space">
    <w:name w:val="apple-converted-space"/>
    <w:rsid w:val="005D45EA"/>
  </w:style>
  <w:style w:type="paragraph" w:styleId="Textonotapie">
    <w:name w:val="footnote text"/>
    <w:basedOn w:val="Normal"/>
    <w:link w:val="TextonotapieCar"/>
    <w:rsid w:val="00750A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50A1E"/>
    <w:rPr>
      <w:lang w:val="es-ES" w:eastAsia="es-ES"/>
    </w:rPr>
  </w:style>
  <w:style w:type="character" w:styleId="Refdenotaalpie">
    <w:name w:val="footnote reference"/>
    <w:basedOn w:val="Fuentedeprrafopredeter"/>
    <w:rsid w:val="00750A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7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5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croprocesos xmlns="3410525b-d2fa-4a3d-a768-156301000eb6">14</Macroprocesos>
    <Departamento xmlns="86fbb03e-06d9-4e12-899b-85ae2e791394">Jurídico</Departamen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EA729DC2D5364692565BF43CEEA661" ma:contentTypeVersion="5" ma:contentTypeDescription="Crear nuevo documento." ma:contentTypeScope="" ma:versionID="ba78b88d6bc610b1d1f7e6662b4d6c7f">
  <xsd:schema xmlns:xsd="http://www.w3.org/2001/XMLSchema" xmlns:xs="http://www.w3.org/2001/XMLSchema" xmlns:p="http://schemas.microsoft.com/office/2006/metadata/properties" xmlns:ns2="86fbb03e-06d9-4e12-899b-85ae2e791394" xmlns:ns3="3410525b-d2fa-4a3d-a768-156301000eb6" targetNamespace="http://schemas.microsoft.com/office/2006/metadata/properties" ma:root="true" ma:fieldsID="929838af4f88dffdf3b9571a3284812e" ns2:_="" ns3:_="">
    <xsd:import namespace="86fbb03e-06d9-4e12-899b-85ae2e791394"/>
    <xsd:import namespace="3410525b-d2fa-4a3d-a768-156301000eb6"/>
    <xsd:element name="properties">
      <xsd:complexType>
        <xsd:sequence>
          <xsd:element name="documentManagement">
            <xsd:complexType>
              <xsd:all>
                <xsd:element ref="ns2:Departamento"/>
                <xsd:element ref="ns3:Macroproces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bb03e-06d9-4e12-899b-85ae2e791394" elementFormDefault="qualified">
    <xsd:import namespace="http://schemas.microsoft.com/office/2006/documentManagement/types"/>
    <xsd:import namespace="http://schemas.microsoft.com/office/infopath/2007/PartnerControls"/>
    <xsd:element name="Departamento" ma:index="8" ma:displayName="Departamento" ma:default="Comunicaciones y Relaciones Corporativas" ma:format="Dropdown" ma:internalName="Departamento">
      <xsd:simpleType>
        <xsd:restriction base="dms:Choice">
          <xsd:enumeration value="Comunicaciones y Relaciones Corporativas"/>
          <xsd:enumeration value="Auditoria Interna"/>
          <xsd:enumeration value="Información Financiera"/>
          <xsd:enumeration value="Dirección"/>
          <xsd:enumeration value="Riesgos Financieros de la Reserva"/>
          <xsd:enumeration value="Gestión de Contenidos"/>
          <xsd:enumeration value="Talento Humano"/>
          <xsd:enumeration value="Riesgo Operativo y Procesos"/>
          <xsd:enumeration value="Análisis de Entidades Financieras y Simulacros"/>
          <xsd:enumeration value="Jurídico"/>
          <xsd:enumeration value="Gestión de Otros Archivos"/>
          <xsd:enumeration value="Resolución y Liquidaciones"/>
          <xsd:enumeration value="Operaciones de Tesoreria"/>
          <xsd:enumeration value="Sistema de Seguro de Depósitos"/>
          <xsd:enumeration value="Planeación y Proyectos"/>
          <xsd:enumeration value="Gestión de Inversiones"/>
          <xsd:enumeration value="Subdireción Corporativa"/>
          <xsd:enumeration value="Desarrollo Administrativo"/>
          <xsd:enumeration value="Subdirección de Gestión de Activos"/>
          <xsd:enumeration value="Subdirección Financiera Y Operativa"/>
          <xsd:enumeration value="Tecnologías de La Información"/>
          <xsd:enumeration value="Subdirección de Mecanismo de Resolució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525b-d2fa-4a3d-a768-156301000eb6" elementFormDefault="qualified">
    <xsd:import namespace="http://schemas.microsoft.com/office/2006/documentManagement/types"/>
    <xsd:import namespace="http://schemas.microsoft.com/office/infopath/2007/PartnerControls"/>
    <xsd:element name="Macroprocesos" ma:index="9" ma:displayName="Proceso" ma:list="{aabdd146-37cb-46d7-8581-226074af296f}" ma:internalName="Macroprocesos" ma:readOnly="false" ma:showField="Macroproceso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188F1-1291-40F0-84AC-565592DC37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3AC6BAD-8CD1-48DE-853C-0BCD09A9FDAB}">
  <ds:schemaRefs>
    <ds:schemaRef ds:uri="http://schemas.microsoft.com/office/2006/metadata/properties"/>
    <ds:schemaRef ds:uri="http://schemas.microsoft.com/office/infopath/2007/PartnerControls"/>
    <ds:schemaRef ds:uri="3410525b-d2fa-4a3d-a768-156301000eb6"/>
    <ds:schemaRef ds:uri="86fbb03e-06d9-4e12-899b-85ae2e791394"/>
  </ds:schemaRefs>
</ds:datastoreItem>
</file>

<file path=customXml/itemProps3.xml><?xml version="1.0" encoding="utf-8"?>
<ds:datastoreItem xmlns:ds="http://schemas.openxmlformats.org/officeDocument/2006/customXml" ds:itemID="{8255F515-C773-4466-AD2F-45C2ABD21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4D06A-AAD0-4064-A358-74A7E2EA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bb03e-06d9-4e12-899b-85ae2e791394"/>
    <ds:schemaRef ds:uri="3410525b-d2fa-4a3d-a768-156301000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3A15F1-539D-4CDE-BC14-B4791D5D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INDTITUCIONES FINANCIERAS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DE GARANTIAS DE</dc:creator>
  <cp:keywords/>
  <cp:lastModifiedBy>Fondo de Garantías de Instituciones Financieras</cp:lastModifiedBy>
  <cp:revision>7</cp:revision>
  <cp:lastPrinted>2008-10-02T22:26:00Z</cp:lastPrinted>
  <dcterms:created xsi:type="dcterms:W3CDTF">2019-12-16T17:00:00Z</dcterms:created>
  <dcterms:modified xsi:type="dcterms:W3CDTF">2019-12-16T17:11:00Z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croprocesos">
    <vt:lpwstr>14</vt:lpwstr>
  </property>
  <property fmtid="{D5CDD505-2E9C-101B-9397-08002B2CF9AE}" pid="3" name="Departamento">
    <vt:lpwstr>Jurídico</vt:lpwstr>
  </property>
  <property fmtid="{D5CDD505-2E9C-101B-9397-08002B2CF9AE}" pid="4" name="ContentTypeId">
    <vt:lpwstr>0x010100D6EA729DC2D5364692565BF43CEEA661</vt:lpwstr>
  </property>
</Properties>
</file>