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2730" w14:textId="77777777" w:rsidR="00432834" w:rsidRPr="00C6581E" w:rsidRDefault="00432834" w:rsidP="00477843">
      <w:pPr>
        <w:tabs>
          <w:tab w:val="left" w:pos="5940"/>
        </w:tabs>
        <w:rPr>
          <w:rFonts w:ascii="Arial" w:hAnsi="Arial" w:cs="Arial"/>
          <w:sz w:val="24"/>
          <w:szCs w:val="24"/>
          <w:lang w:val="es-CO"/>
        </w:rPr>
      </w:pPr>
    </w:p>
    <w:p w14:paraId="7CA81B13" w14:textId="2776808C" w:rsidR="00477843" w:rsidRPr="00C6581E" w:rsidRDefault="00C6581E" w:rsidP="00C6581E">
      <w:pPr>
        <w:tabs>
          <w:tab w:val="left" w:pos="5940"/>
        </w:tabs>
        <w:jc w:val="center"/>
        <w:rPr>
          <w:rFonts w:ascii="Arial" w:hAnsi="Arial" w:cs="Arial"/>
          <w:b/>
          <w:bCs/>
          <w:sz w:val="24"/>
          <w:szCs w:val="24"/>
          <w:lang w:val="es-CO"/>
        </w:rPr>
      </w:pPr>
      <w:r w:rsidRPr="00C6581E">
        <w:rPr>
          <w:rFonts w:ascii="Arial" w:hAnsi="Arial" w:cs="Arial"/>
          <w:b/>
          <w:bCs/>
          <w:sz w:val="24"/>
          <w:szCs w:val="24"/>
          <w:lang w:val="es-CO"/>
        </w:rPr>
        <w:t xml:space="preserve">ANEXO </w:t>
      </w:r>
      <w:r w:rsidR="002271FD">
        <w:rPr>
          <w:rFonts w:ascii="Arial" w:hAnsi="Arial" w:cs="Arial"/>
          <w:b/>
          <w:bCs/>
          <w:sz w:val="24"/>
          <w:szCs w:val="24"/>
          <w:lang w:val="es-CO"/>
        </w:rPr>
        <w:t>2</w:t>
      </w:r>
      <w:r w:rsidRPr="00C6581E">
        <w:rPr>
          <w:rFonts w:ascii="Arial" w:hAnsi="Arial" w:cs="Arial"/>
          <w:b/>
          <w:bCs/>
          <w:sz w:val="24"/>
          <w:szCs w:val="24"/>
          <w:lang w:val="es-CO"/>
        </w:rPr>
        <w:t>. MÉTODOS PARA LA TRANSMISIÓN DE LA INFORMACIÓN</w:t>
      </w:r>
    </w:p>
    <w:p w14:paraId="54B64F82" w14:textId="77777777" w:rsidR="00C6581E" w:rsidRDefault="00C6581E" w:rsidP="00C6581E">
      <w:pPr>
        <w:spacing w:after="120" w:line="300" w:lineRule="auto"/>
        <w:jc w:val="both"/>
        <w:rPr>
          <w:rFonts w:ascii="Arial" w:hAnsi="Arial" w:cs="Arial"/>
          <w:sz w:val="24"/>
          <w:szCs w:val="24"/>
          <w:lang w:val="es-ES"/>
        </w:rPr>
      </w:pPr>
    </w:p>
    <w:p w14:paraId="21C6B3D3" w14:textId="2992D94E" w:rsidR="00C6581E" w:rsidRDefault="00C6581E" w:rsidP="00C6581E">
      <w:pPr>
        <w:spacing w:line="300" w:lineRule="auto"/>
        <w:jc w:val="both"/>
        <w:rPr>
          <w:rFonts w:ascii="Arial" w:hAnsi="Arial" w:cs="Arial"/>
          <w:sz w:val="24"/>
          <w:szCs w:val="24"/>
          <w:lang w:val="es-ES"/>
        </w:rPr>
      </w:pPr>
      <w:r>
        <w:rPr>
          <w:rFonts w:ascii="Arial" w:hAnsi="Arial" w:cs="Arial"/>
          <w:sz w:val="24"/>
          <w:szCs w:val="24"/>
          <w:lang w:val="es-ES"/>
        </w:rPr>
        <w:t>L</w:t>
      </w:r>
      <w:r w:rsidRPr="00C6581E">
        <w:rPr>
          <w:rFonts w:ascii="Arial" w:hAnsi="Arial" w:cs="Arial"/>
          <w:sz w:val="24"/>
          <w:szCs w:val="24"/>
          <w:lang w:val="es-ES"/>
        </w:rPr>
        <w:t>as entidades inscritas</w:t>
      </w:r>
      <w:r>
        <w:rPr>
          <w:rFonts w:ascii="Arial" w:hAnsi="Arial" w:cs="Arial"/>
          <w:sz w:val="24"/>
          <w:szCs w:val="24"/>
          <w:lang w:val="es-ES"/>
        </w:rPr>
        <w:t xml:space="preserve"> tendrán a su disposición</w:t>
      </w:r>
      <w:r w:rsidRPr="00C6581E">
        <w:rPr>
          <w:rFonts w:ascii="Arial" w:hAnsi="Arial" w:cs="Arial"/>
          <w:sz w:val="24"/>
          <w:szCs w:val="24"/>
          <w:lang w:val="es-ES"/>
        </w:rPr>
        <w:t xml:space="preserve"> dos métodos </w:t>
      </w:r>
      <w:r>
        <w:rPr>
          <w:rFonts w:ascii="Arial" w:hAnsi="Arial" w:cs="Arial"/>
          <w:sz w:val="24"/>
          <w:szCs w:val="24"/>
          <w:lang w:val="es-ES"/>
        </w:rPr>
        <w:t xml:space="preserve">para la </w:t>
      </w:r>
      <w:r w:rsidRPr="00C6581E">
        <w:rPr>
          <w:rFonts w:ascii="Arial" w:hAnsi="Arial" w:cs="Arial"/>
          <w:sz w:val="24"/>
          <w:szCs w:val="24"/>
          <w:lang w:val="es-ES"/>
        </w:rPr>
        <w:t>transmisión</w:t>
      </w:r>
      <w:r>
        <w:rPr>
          <w:rFonts w:ascii="Arial" w:hAnsi="Arial" w:cs="Arial"/>
          <w:sz w:val="24"/>
          <w:szCs w:val="24"/>
          <w:lang w:val="es-ES"/>
        </w:rPr>
        <w:t xml:space="preserve"> del FDI</w:t>
      </w:r>
      <w:r w:rsidRPr="00C6581E">
        <w:rPr>
          <w:rFonts w:ascii="Arial" w:hAnsi="Arial" w:cs="Arial"/>
          <w:sz w:val="24"/>
          <w:szCs w:val="24"/>
          <w:lang w:val="es-ES"/>
        </w:rPr>
        <w:t xml:space="preserve">, entre los cuales la entidad seleccionará el más apropiado según su infraestructura y nivel de automatización. </w:t>
      </w:r>
      <w:r>
        <w:rPr>
          <w:rFonts w:ascii="Arial" w:hAnsi="Arial" w:cs="Arial"/>
          <w:sz w:val="24"/>
          <w:szCs w:val="24"/>
          <w:lang w:val="es-ES"/>
        </w:rPr>
        <w:t>A continuación, se encuentran las especificaciones de cada uno de ellos.</w:t>
      </w:r>
    </w:p>
    <w:p w14:paraId="3BE203EB" w14:textId="77777777" w:rsidR="00C6581E" w:rsidRDefault="00C6581E" w:rsidP="00C6581E">
      <w:pPr>
        <w:spacing w:line="300" w:lineRule="auto"/>
        <w:jc w:val="both"/>
        <w:rPr>
          <w:rFonts w:ascii="Arial" w:hAnsi="Arial" w:cs="Arial"/>
          <w:sz w:val="24"/>
          <w:szCs w:val="24"/>
          <w:lang w:val="es-ES"/>
        </w:rPr>
      </w:pPr>
    </w:p>
    <w:p w14:paraId="2350DE66" w14:textId="15485A22" w:rsidR="00C6581E" w:rsidRPr="00C6581E" w:rsidRDefault="00C6581E" w:rsidP="00C6581E">
      <w:pPr>
        <w:spacing w:line="300" w:lineRule="auto"/>
        <w:jc w:val="both"/>
        <w:rPr>
          <w:rFonts w:ascii="Arial" w:hAnsi="Arial" w:cs="Arial"/>
          <w:color w:val="000000" w:themeColor="text1"/>
          <w:sz w:val="24"/>
          <w:szCs w:val="24"/>
        </w:rPr>
      </w:pPr>
      <w:r w:rsidRPr="54A748CD">
        <w:rPr>
          <w:rFonts w:ascii="Arial" w:hAnsi="Arial" w:cs="Arial"/>
          <w:sz w:val="24"/>
          <w:szCs w:val="24"/>
          <w:lang w:val="es-ES"/>
        </w:rPr>
        <w:t>En cualquiera de los dos métodos, las entidades inscritas deberán descargar del portal web un token de transmisión para comprobar la identificación del usuario que remite la información. El token tendrá una vigencia de un (1) mes, por lo cual se deberá descargar en cada transmisión.</w:t>
      </w:r>
    </w:p>
    <w:p w14:paraId="3847191F" w14:textId="77777777" w:rsidR="00C6581E" w:rsidRDefault="00C6581E" w:rsidP="00C6581E">
      <w:pPr>
        <w:spacing w:line="300" w:lineRule="auto"/>
        <w:jc w:val="both"/>
        <w:rPr>
          <w:rFonts w:ascii="Arial" w:hAnsi="Arial" w:cs="Arial"/>
          <w:b/>
          <w:bCs/>
          <w:color w:val="000000" w:themeColor="text1"/>
          <w:sz w:val="24"/>
          <w:szCs w:val="24"/>
        </w:rPr>
      </w:pPr>
    </w:p>
    <w:p w14:paraId="5EED6B56" w14:textId="68BD1121" w:rsidR="00C6581E" w:rsidRPr="00C6581E" w:rsidRDefault="00C6581E" w:rsidP="00C6581E">
      <w:pPr>
        <w:spacing w:line="300" w:lineRule="auto"/>
        <w:jc w:val="both"/>
        <w:rPr>
          <w:rFonts w:ascii="Arial" w:hAnsi="Arial" w:cs="Arial"/>
          <w:color w:val="000000"/>
          <w:sz w:val="24"/>
          <w:szCs w:val="24"/>
        </w:rPr>
      </w:pPr>
      <w:r w:rsidRPr="00C6581E">
        <w:rPr>
          <w:rFonts w:ascii="Arial" w:hAnsi="Arial" w:cs="Arial"/>
          <w:b/>
          <w:bCs/>
          <w:color w:val="000000" w:themeColor="text1"/>
          <w:sz w:val="24"/>
          <w:szCs w:val="24"/>
        </w:rPr>
        <w:t>Método 1: REST API</w:t>
      </w:r>
    </w:p>
    <w:p w14:paraId="5DFAB634" w14:textId="77777777" w:rsidR="00C6581E" w:rsidRDefault="00C6581E" w:rsidP="00C6581E">
      <w:pPr>
        <w:spacing w:line="300" w:lineRule="auto"/>
        <w:jc w:val="both"/>
        <w:rPr>
          <w:rFonts w:ascii="Arial" w:hAnsi="Arial" w:cs="Arial"/>
          <w:sz w:val="24"/>
          <w:szCs w:val="24"/>
          <w:lang w:val="es-ES"/>
        </w:rPr>
      </w:pPr>
    </w:p>
    <w:p w14:paraId="7B4AD06C" w14:textId="006D63E0" w:rsidR="00C6581E" w:rsidRDefault="00C6581E" w:rsidP="00C6581E">
      <w:pPr>
        <w:spacing w:line="300" w:lineRule="auto"/>
        <w:jc w:val="both"/>
        <w:rPr>
          <w:rFonts w:ascii="Arial" w:hAnsi="Arial" w:cs="Arial"/>
          <w:sz w:val="24"/>
          <w:szCs w:val="24"/>
          <w:lang w:val="es-ES"/>
        </w:rPr>
      </w:pPr>
      <w:r w:rsidRPr="00C6581E">
        <w:rPr>
          <w:rFonts w:ascii="Arial" w:hAnsi="Arial" w:cs="Arial"/>
          <w:sz w:val="24"/>
          <w:szCs w:val="24"/>
          <w:lang w:val="es-ES"/>
        </w:rPr>
        <w:t xml:space="preserve">Este método permite a la entidad enviar el </w:t>
      </w:r>
      <w:r>
        <w:rPr>
          <w:rFonts w:ascii="Arial" w:hAnsi="Arial" w:cs="Arial"/>
          <w:sz w:val="24"/>
          <w:szCs w:val="24"/>
          <w:lang w:val="es-ES"/>
        </w:rPr>
        <w:t>FDI</w:t>
      </w:r>
      <w:r w:rsidRPr="00C6581E">
        <w:rPr>
          <w:rFonts w:ascii="Arial" w:hAnsi="Arial" w:cs="Arial"/>
          <w:sz w:val="24"/>
          <w:szCs w:val="24"/>
          <w:lang w:val="es-ES"/>
        </w:rPr>
        <w:t xml:space="preserve"> a un endpoint expuesto por Fogafin.</w:t>
      </w:r>
      <w:r>
        <w:rPr>
          <w:rFonts w:ascii="Arial" w:hAnsi="Arial" w:cs="Arial"/>
          <w:sz w:val="24"/>
          <w:szCs w:val="24"/>
          <w:lang w:val="es-ES"/>
        </w:rPr>
        <w:t xml:space="preserve"> Parra ello, l</w:t>
      </w:r>
      <w:r w:rsidRPr="00C6581E">
        <w:rPr>
          <w:rFonts w:ascii="Arial" w:hAnsi="Arial" w:cs="Arial"/>
          <w:sz w:val="24"/>
          <w:szCs w:val="24"/>
          <w:lang w:val="es-ES"/>
        </w:rPr>
        <w:t>a entidad deberá autenticarse contra Microsoft Entra ID utilizando el flujo OAuth 2.0. La petición al endpoint de autenticación deberá incluir:</w:t>
      </w:r>
    </w:p>
    <w:p w14:paraId="4F9D79E4" w14:textId="77777777" w:rsidR="00AE67DB" w:rsidRPr="00AE67DB" w:rsidRDefault="00AE67DB" w:rsidP="00C6581E">
      <w:pPr>
        <w:spacing w:line="300" w:lineRule="auto"/>
        <w:jc w:val="both"/>
        <w:rPr>
          <w:rFonts w:ascii="Arial" w:hAnsi="Arial" w:cs="Arial"/>
          <w:sz w:val="24"/>
          <w:szCs w:val="24"/>
          <w:lang w:val="es-ES"/>
        </w:rPr>
      </w:pPr>
    </w:p>
    <w:p w14:paraId="002ACB0E"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color w:val="000000"/>
          <w:sz w:val="24"/>
          <w:szCs w:val="24"/>
          <w:lang w:val="es-ES"/>
        </w:rPr>
      </w:pPr>
      <w:r w:rsidRPr="00C6581E">
        <w:rPr>
          <w:rFonts w:ascii="Arial" w:hAnsi="Arial" w:cs="Arial"/>
          <w:b/>
          <w:color w:val="000000"/>
          <w:sz w:val="24"/>
          <w:szCs w:val="24"/>
          <w:lang w:val="es-ES"/>
        </w:rPr>
        <w:t xml:space="preserve">client_id: </w:t>
      </w:r>
      <w:r w:rsidRPr="00C6581E">
        <w:rPr>
          <w:rFonts w:ascii="Arial" w:hAnsi="Arial" w:cs="Arial"/>
          <w:color w:val="000000"/>
          <w:sz w:val="24"/>
          <w:szCs w:val="24"/>
          <w:lang w:val="es-ES"/>
        </w:rPr>
        <w:t>identificador de aplicación de la entidad, disponible en el portal.</w:t>
      </w:r>
    </w:p>
    <w:p w14:paraId="04BC8978"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sz w:val="24"/>
          <w:szCs w:val="24"/>
        </w:rPr>
      </w:pPr>
      <w:r w:rsidRPr="00C6581E">
        <w:rPr>
          <w:rFonts w:ascii="Arial" w:hAnsi="Arial" w:cs="Arial"/>
          <w:b/>
          <w:bCs/>
          <w:color w:val="000000" w:themeColor="text1"/>
          <w:sz w:val="24"/>
          <w:szCs w:val="24"/>
          <w:lang w:val="es-ES"/>
        </w:rPr>
        <w:t xml:space="preserve">grant_type: </w:t>
      </w:r>
      <w:r w:rsidRPr="00C6581E">
        <w:rPr>
          <w:rFonts w:ascii="Arial" w:hAnsi="Arial" w:cs="Arial"/>
          <w:color w:val="000000" w:themeColor="text1"/>
          <w:sz w:val="24"/>
          <w:szCs w:val="24"/>
          <w:lang w:val="es-ES"/>
        </w:rPr>
        <w:t>client_credentials.</w:t>
      </w:r>
    </w:p>
    <w:p w14:paraId="4FF2689B"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color w:val="000000"/>
          <w:sz w:val="24"/>
          <w:szCs w:val="24"/>
          <w:lang w:val="es-ES"/>
        </w:rPr>
      </w:pPr>
      <w:r w:rsidRPr="00C6581E">
        <w:rPr>
          <w:rFonts w:ascii="Arial" w:hAnsi="Arial" w:cs="Arial"/>
          <w:b/>
          <w:bCs/>
          <w:color w:val="000000" w:themeColor="text1"/>
          <w:sz w:val="24"/>
          <w:szCs w:val="24"/>
          <w:lang w:val="es-ES"/>
        </w:rPr>
        <w:t xml:space="preserve">client_secret: </w:t>
      </w:r>
      <w:r w:rsidRPr="00C6581E">
        <w:rPr>
          <w:rFonts w:ascii="Arial" w:hAnsi="Arial" w:cs="Arial"/>
          <w:color w:val="000000" w:themeColor="text1"/>
          <w:sz w:val="24"/>
          <w:szCs w:val="24"/>
          <w:lang w:val="es-ES"/>
        </w:rPr>
        <w:t>token de transmisión vigente.</w:t>
      </w:r>
    </w:p>
    <w:p w14:paraId="21A3EA5F"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color w:val="000000"/>
          <w:sz w:val="24"/>
          <w:szCs w:val="24"/>
          <w:lang w:val="es-ES"/>
        </w:rPr>
      </w:pPr>
      <w:commentRangeStart w:id="0"/>
      <w:commentRangeStart w:id="1"/>
      <w:r w:rsidRPr="00C6581E">
        <w:rPr>
          <w:rFonts w:ascii="Arial" w:hAnsi="Arial" w:cs="Arial"/>
          <w:b/>
          <w:bCs/>
          <w:color w:val="000000" w:themeColor="text1"/>
          <w:sz w:val="24"/>
          <w:szCs w:val="24"/>
          <w:lang w:val="es-ES"/>
        </w:rPr>
        <w:t xml:space="preserve">scope: </w:t>
      </w:r>
      <w:r w:rsidRPr="00C6581E">
        <w:rPr>
          <w:rFonts w:ascii="Arial" w:hAnsi="Arial" w:cs="Arial"/>
          <w:color w:val="000000" w:themeColor="text1"/>
          <w:sz w:val="24"/>
          <w:szCs w:val="24"/>
          <w:lang w:val="es-ES"/>
        </w:rPr>
        <w:t>scope asociado al proceso de FDI. Visible en el portal en la sección de “generación de token”.</w:t>
      </w:r>
      <w:commentRangeEnd w:id="0"/>
      <w:r w:rsidRPr="00C6581E">
        <w:rPr>
          <w:rStyle w:val="Refdecomentario"/>
          <w:rFonts w:ascii="Arial" w:hAnsi="Arial" w:cs="Arial"/>
          <w:color w:val="000000"/>
          <w:sz w:val="24"/>
          <w:szCs w:val="24"/>
          <w:lang w:val="es-ES"/>
        </w:rPr>
        <w:commentReference w:id="0"/>
      </w:r>
      <w:commentRangeEnd w:id="1"/>
      <w:r w:rsidRPr="00C6581E">
        <w:rPr>
          <w:rStyle w:val="Refdecomentario"/>
          <w:rFonts w:ascii="Arial" w:hAnsi="Arial" w:cs="Arial"/>
          <w:color w:val="000000"/>
          <w:sz w:val="24"/>
          <w:szCs w:val="24"/>
          <w:lang w:val="es-ES"/>
        </w:rPr>
        <w:commentReference w:id="1"/>
      </w:r>
    </w:p>
    <w:p w14:paraId="03DCCF00" w14:textId="77777777" w:rsidR="00AE67DB" w:rsidRDefault="00AE67DB" w:rsidP="00C6581E">
      <w:pPr>
        <w:spacing w:line="300" w:lineRule="auto"/>
        <w:jc w:val="both"/>
        <w:rPr>
          <w:rFonts w:ascii="Arial" w:hAnsi="Arial" w:cs="Arial"/>
          <w:sz w:val="24"/>
          <w:szCs w:val="24"/>
        </w:rPr>
      </w:pPr>
    </w:p>
    <w:p w14:paraId="28630CF7" w14:textId="675A0774" w:rsidR="00C6581E" w:rsidRDefault="00C6581E" w:rsidP="00C6581E">
      <w:pPr>
        <w:spacing w:line="300" w:lineRule="auto"/>
        <w:jc w:val="both"/>
        <w:rPr>
          <w:rFonts w:ascii="Arial" w:hAnsi="Arial" w:cs="Arial"/>
          <w:sz w:val="24"/>
          <w:szCs w:val="24"/>
        </w:rPr>
      </w:pPr>
      <w:r w:rsidRPr="00C6581E">
        <w:rPr>
          <w:rFonts w:ascii="Arial" w:hAnsi="Arial" w:cs="Arial"/>
          <w:sz w:val="24"/>
          <w:szCs w:val="24"/>
        </w:rPr>
        <w:t>Como resultado, Entra ID emitirá un token JWT que autorizará el envío del archivo.</w:t>
      </w:r>
    </w:p>
    <w:p w14:paraId="2DAD57D1" w14:textId="77777777" w:rsidR="00C6581E" w:rsidRPr="00C6581E" w:rsidRDefault="00C6581E" w:rsidP="00C6581E">
      <w:pPr>
        <w:spacing w:line="300" w:lineRule="auto"/>
        <w:jc w:val="both"/>
        <w:rPr>
          <w:rFonts w:ascii="Arial" w:hAnsi="Arial" w:cs="Arial"/>
          <w:sz w:val="24"/>
          <w:szCs w:val="24"/>
        </w:rPr>
      </w:pPr>
    </w:p>
    <w:p w14:paraId="7AF51A05" w14:textId="5A445D59" w:rsidR="00C6581E" w:rsidRPr="00C6581E" w:rsidRDefault="00C6581E" w:rsidP="00C6581E">
      <w:pPr>
        <w:pStyle w:val="Ttulo3"/>
        <w:numPr>
          <w:ilvl w:val="0"/>
          <w:numId w:val="6"/>
        </w:numPr>
        <w:spacing w:after="0"/>
        <w:jc w:val="both"/>
        <w:rPr>
          <w:b/>
          <w:bCs/>
          <w:color w:val="000000"/>
          <w:sz w:val="24"/>
          <w:szCs w:val="24"/>
        </w:rPr>
      </w:pPr>
      <w:r>
        <w:rPr>
          <w:b/>
          <w:bCs/>
          <w:color w:val="000000"/>
          <w:sz w:val="24"/>
          <w:szCs w:val="24"/>
        </w:rPr>
        <w:t xml:space="preserve">Transmisión de </w:t>
      </w:r>
      <w:r w:rsidRPr="00C6581E">
        <w:rPr>
          <w:b/>
          <w:bCs/>
          <w:color w:val="000000"/>
          <w:sz w:val="24"/>
          <w:szCs w:val="24"/>
        </w:rPr>
        <w:t>archivo</w:t>
      </w:r>
      <w:r>
        <w:rPr>
          <w:b/>
          <w:bCs/>
          <w:color w:val="000000"/>
          <w:sz w:val="24"/>
          <w:szCs w:val="24"/>
        </w:rPr>
        <w:t>s</w:t>
      </w:r>
      <w:r w:rsidRPr="00C6581E">
        <w:rPr>
          <w:b/>
          <w:bCs/>
          <w:color w:val="000000"/>
          <w:sz w:val="24"/>
          <w:szCs w:val="24"/>
        </w:rPr>
        <w:t xml:space="preserve"> menor</w:t>
      </w:r>
      <w:r>
        <w:rPr>
          <w:b/>
          <w:bCs/>
          <w:color w:val="000000"/>
          <w:sz w:val="24"/>
          <w:szCs w:val="24"/>
        </w:rPr>
        <w:t>es</w:t>
      </w:r>
      <w:r w:rsidRPr="00C6581E">
        <w:rPr>
          <w:b/>
          <w:bCs/>
          <w:color w:val="000000"/>
          <w:sz w:val="24"/>
          <w:szCs w:val="24"/>
        </w:rPr>
        <w:t xml:space="preserve"> a 100 MB</w:t>
      </w:r>
    </w:p>
    <w:p w14:paraId="41D20E8C" w14:textId="77777777" w:rsidR="00C6581E" w:rsidRDefault="00C6581E" w:rsidP="00C6581E">
      <w:pPr>
        <w:spacing w:line="300" w:lineRule="auto"/>
        <w:jc w:val="both"/>
        <w:rPr>
          <w:rFonts w:ascii="Arial" w:hAnsi="Arial" w:cs="Arial"/>
          <w:sz w:val="24"/>
          <w:szCs w:val="24"/>
          <w:lang w:val="es-ES"/>
        </w:rPr>
      </w:pPr>
    </w:p>
    <w:p w14:paraId="27F43E29" w14:textId="724D2AC3" w:rsidR="00C6581E" w:rsidRDefault="00C6581E" w:rsidP="00C6581E">
      <w:pPr>
        <w:spacing w:line="300" w:lineRule="auto"/>
        <w:jc w:val="both"/>
        <w:rPr>
          <w:rFonts w:ascii="Arial" w:hAnsi="Arial" w:cs="Arial"/>
          <w:sz w:val="24"/>
          <w:szCs w:val="24"/>
          <w:lang w:val="es-ES"/>
        </w:rPr>
      </w:pPr>
      <w:r>
        <w:rPr>
          <w:rFonts w:ascii="Arial" w:hAnsi="Arial" w:cs="Arial"/>
          <w:sz w:val="24"/>
          <w:szCs w:val="24"/>
          <w:lang w:val="es-ES"/>
        </w:rPr>
        <w:t xml:space="preserve">En los casos de que el archivo AVRO firmado y cifrado </w:t>
      </w:r>
      <w:r w:rsidRPr="00C6581E">
        <w:rPr>
          <w:rFonts w:ascii="Arial" w:hAnsi="Arial" w:cs="Arial"/>
          <w:sz w:val="24"/>
          <w:szCs w:val="24"/>
          <w:lang w:val="es-ES"/>
        </w:rPr>
        <w:t>tenga un tamaño inferior a 100 MB podrá ser remitido directamente al endpoint /fdi. La petición HTTPS deberá contener:</w:t>
      </w:r>
    </w:p>
    <w:p w14:paraId="48EC3855" w14:textId="77777777" w:rsidR="00C6581E" w:rsidRPr="00C6581E" w:rsidRDefault="00C6581E" w:rsidP="00C6581E">
      <w:pPr>
        <w:spacing w:line="300" w:lineRule="auto"/>
        <w:jc w:val="both"/>
        <w:rPr>
          <w:rFonts w:ascii="Arial" w:hAnsi="Arial" w:cs="Arial"/>
          <w:sz w:val="24"/>
          <w:szCs w:val="24"/>
        </w:rPr>
      </w:pPr>
    </w:p>
    <w:p w14:paraId="6001669C"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color w:val="000000"/>
          <w:sz w:val="24"/>
          <w:szCs w:val="24"/>
          <w:lang w:val="es-ES"/>
        </w:rPr>
      </w:pPr>
      <w:r w:rsidRPr="00C6581E">
        <w:rPr>
          <w:rFonts w:ascii="Arial" w:hAnsi="Arial" w:cs="Arial"/>
          <w:b/>
          <w:bCs/>
          <w:color w:val="000000" w:themeColor="text1"/>
          <w:sz w:val="24"/>
          <w:szCs w:val="24"/>
          <w:lang w:val="es-ES"/>
        </w:rPr>
        <w:t xml:space="preserve">Cuerpo: </w:t>
      </w:r>
      <w:r w:rsidRPr="00C6581E">
        <w:rPr>
          <w:rFonts w:ascii="Arial" w:hAnsi="Arial" w:cs="Arial"/>
          <w:color w:val="000000" w:themeColor="text1"/>
          <w:sz w:val="24"/>
          <w:szCs w:val="24"/>
          <w:lang w:val="es-ES"/>
        </w:rPr>
        <w:t>archivo.pgp respetando la nomenclatura definida.</w:t>
      </w:r>
    </w:p>
    <w:p w14:paraId="30CA65F5"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sz w:val="24"/>
          <w:szCs w:val="24"/>
        </w:rPr>
      </w:pPr>
      <w:r w:rsidRPr="00C6581E">
        <w:rPr>
          <w:rFonts w:ascii="Arial" w:hAnsi="Arial" w:cs="Arial"/>
          <w:b/>
          <w:bCs/>
          <w:color w:val="000000" w:themeColor="text1"/>
          <w:sz w:val="24"/>
          <w:szCs w:val="24"/>
          <w:lang w:val="es-ES"/>
        </w:rPr>
        <w:t xml:space="preserve">Header part_number: </w:t>
      </w:r>
      <w:r w:rsidRPr="00C6581E">
        <w:rPr>
          <w:rFonts w:ascii="Arial" w:hAnsi="Arial" w:cs="Arial"/>
          <w:color w:val="000000" w:themeColor="text1"/>
          <w:sz w:val="24"/>
          <w:szCs w:val="24"/>
          <w:lang w:val="es-ES"/>
        </w:rPr>
        <w:t>1.estado</w:t>
      </w:r>
    </w:p>
    <w:p w14:paraId="5FB6486F"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sz w:val="24"/>
          <w:szCs w:val="24"/>
        </w:rPr>
      </w:pPr>
      <w:r w:rsidRPr="00C6581E">
        <w:rPr>
          <w:rFonts w:ascii="Arial" w:hAnsi="Arial" w:cs="Arial"/>
          <w:b/>
          <w:bCs/>
          <w:color w:val="000000" w:themeColor="text1"/>
          <w:sz w:val="24"/>
          <w:szCs w:val="24"/>
          <w:lang w:val="es-ES"/>
        </w:rPr>
        <w:lastRenderedPageBreak/>
        <w:t xml:space="preserve">Header total_parts: </w:t>
      </w:r>
      <w:r w:rsidRPr="00C6581E">
        <w:rPr>
          <w:rFonts w:ascii="Arial" w:hAnsi="Arial" w:cs="Arial"/>
          <w:color w:val="000000" w:themeColor="text1"/>
          <w:sz w:val="24"/>
          <w:szCs w:val="24"/>
          <w:lang w:val="es-ES"/>
        </w:rPr>
        <w:t>1.</w:t>
      </w:r>
    </w:p>
    <w:p w14:paraId="6F05C1C2"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color w:val="000000"/>
          <w:sz w:val="24"/>
          <w:szCs w:val="24"/>
          <w:lang w:val="es-ES"/>
        </w:rPr>
      </w:pPr>
      <w:r w:rsidRPr="00C6581E">
        <w:rPr>
          <w:rFonts w:ascii="Arial" w:hAnsi="Arial" w:cs="Arial"/>
          <w:b/>
          <w:bCs/>
          <w:color w:val="000000" w:themeColor="text1"/>
          <w:sz w:val="24"/>
          <w:szCs w:val="24"/>
          <w:lang w:val="es-ES"/>
        </w:rPr>
        <w:t xml:space="preserve">Header checksum_original: </w:t>
      </w:r>
      <w:r w:rsidRPr="00C6581E">
        <w:rPr>
          <w:rFonts w:ascii="Arial" w:hAnsi="Arial" w:cs="Arial"/>
          <w:color w:val="000000" w:themeColor="text1"/>
          <w:sz w:val="24"/>
          <w:szCs w:val="24"/>
          <w:lang w:val="es-ES"/>
        </w:rPr>
        <w:t>hash SHA-256 calculado previamente sobre el archivo original.</w:t>
      </w:r>
    </w:p>
    <w:p w14:paraId="4AE71DD8" w14:textId="77777777" w:rsidR="00C6581E" w:rsidRPr="00C6581E" w:rsidRDefault="00C6581E" w:rsidP="00C6581E">
      <w:pPr>
        <w:numPr>
          <w:ilvl w:val="0"/>
          <w:numId w:val="2"/>
        </w:numPr>
        <w:pBdr>
          <w:top w:val="nil"/>
          <w:left w:val="nil"/>
          <w:bottom w:val="nil"/>
          <w:right w:val="nil"/>
          <w:between w:val="nil"/>
        </w:pBdr>
        <w:spacing w:line="300" w:lineRule="auto"/>
        <w:jc w:val="both"/>
        <w:rPr>
          <w:rFonts w:ascii="Arial" w:hAnsi="Arial" w:cs="Arial"/>
          <w:sz w:val="24"/>
          <w:szCs w:val="24"/>
          <w:lang w:val="en-US"/>
        </w:rPr>
      </w:pPr>
      <w:r w:rsidRPr="00C6581E">
        <w:rPr>
          <w:rFonts w:ascii="Arial" w:hAnsi="Arial" w:cs="Arial"/>
          <w:b/>
          <w:bCs/>
          <w:color w:val="000000" w:themeColor="text1"/>
          <w:sz w:val="24"/>
          <w:szCs w:val="24"/>
          <w:lang w:val="en-US"/>
        </w:rPr>
        <w:t xml:space="preserve">Header Authorization: </w:t>
      </w:r>
      <w:r w:rsidRPr="00C6581E">
        <w:rPr>
          <w:rFonts w:ascii="Arial" w:hAnsi="Arial" w:cs="Arial"/>
          <w:color w:val="000000" w:themeColor="text1"/>
          <w:sz w:val="24"/>
          <w:szCs w:val="24"/>
          <w:lang w:val="en-US"/>
        </w:rPr>
        <w:t>token JWT de autorización.</w:t>
      </w:r>
    </w:p>
    <w:p w14:paraId="065B60D4" w14:textId="77777777" w:rsidR="00C6581E" w:rsidRDefault="00C6581E" w:rsidP="00C6581E">
      <w:pPr>
        <w:pBdr>
          <w:top w:val="nil"/>
          <w:left w:val="nil"/>
          <w:bottom w:val="nil"/>
          <w:right w:val="nil"/>
          <w:between w:val="nil"/>
        </w:pBdr>
        <w:spacing w:line="300" w:lineRule="auto"/>
        <w:jc w:val="both"/>
        <w:rPr>
          <w:rFonts w:ascii="Arial" w:hAnsi="Arial" w:cs="Arial"/>
          <w:sz w:val="24"/>
          <w:szCs w:val="24"/>
          <w:lang w:val="en-US"/>
        </w:rPr>
      </w:pPr>
    </w:p>
    <w:p w14:paraId="5C6DF8F1" w14:textId="56062CE8" w:rsidR="00C6581E" w:rsidRDefault="00C6581E" w:rsidP="00C6581E">
      <w:pPr>
        <w:pStyle w:val="Ttulo3"/>
        <w:numPr>
          <w:ilvl w:val="0"/>
          <w:numId w:val="6"/>
        </w:numPr>
        <w:spacing w:after="0"/>
        <w:jc w:val="both"/>
        <w:rPr>
          <w:b/>
          <w:bCs/>
          <w:color w:val="000000"/>
          <w:sz w:val="24"/>
          <w:szCs w:val="24"/>
        </w:rPr>
      </w:pPr>
      <w:r>
        <w:rPr>
          <w:b/>
          <w:bCs/>
          <w:color w:val="000000"/>
          <w:sz w:val="24"/>
          <w:szCs w:val="24"/>
        </w:rPr>
        <w:t xml:space="preserve">Transmisión de </w:t>
      </w:r>
      <w:r w:rsidRPr="00C6581E">
        <w:rPr>
          <w:b/>
          <w:bCs/>
          <w:color w:val="000000"/>
          <w:sz w:val="24"/>
          <w:szCs w:val="24"/>
        </w:rPr>
        <w:t>archivo</w:t>
      </w:r>
      <w:r>
        <w:rPr>
          <w:b/>
          <w:bCs/>
          <w:color w:val="000000"/>
          <w:sz w:val="24"/>
          <w:szCs w:val="24"/>
        </w:rPr>
        <w:t>s</w:t>
      </w:r>
      <w:r w:rsidRPr="00C6581E">
        <w:rPr>
          <w:b/>
          <w:bCs/>
          <w:color w:val="000000"/>
          <w:sz w:val="24"/>
          <w:szCs w:val="24"/>
        </w:rPr>
        <w:t xml:space="preserve"> </w:t>
      </w:r>
      <w:r>
        <w:rPr>
          <w:b/>
          <w:bCs/>
          <w:color w:val="000000"/>
          <w:sz w:val="24"/>
          <w:szCs w:val="24"/>
        </w:rPr>
        <w:t>mayores</w:t>
      </w:r>
      <w:r w:rsidRPr="00C6581E">
        <w:rPr>
          <w:b/>
          <w:bCs/>
          <w:color w:val="000000"/>
          <w:sz w:val="24"/>
          <w:szCs w:val="24"/>
        </w:rPr>
        <w:t xml:space="preserve"> a 100 MB</w:t>
      </w:r>
    </w:p>
    <w:p w14:paraId="7C820DC6" w14:textId="77777777" w:rsidR="00C6581E" w:rsidRPr="00C6581E" w:rsidRDefault="00C6581E" w:rsidP="00C6581E">
      <w:pPr>
        <w:rPr>
          <w:lang w:val="es" w:eastAsia="ja-JP"/>
        </w:rPr>
      </w:pPr>
    </w:p>
    <w:p w14:paraId="46EAE062" w14:textId="6397EB7B" w:rsidR="00C6581E" w:rsidRPr="00C6581E" w:rsidRDefault="00C6581E" w:rsidP="00C6581E">
      <w:pPr>
        <w:spacing w:before="120" w:line="300" w:lineRule="auto"/>
        <w:jc w:val="both"/>
        <w:rPr>
          <w:rFonts w:ascii="Arial" w:hAnsi="Arial" w:cs="Arial"/>
          <w:sz w:val="24"/>
          <w:szCs w:val="24"/>
        </w:rPr>
      </w:pPr>
      <w:r>
        <w:rPr>
          <w:rFonts w:ascii="Arial" w:hAnsi="Arial" w:cs="Arial"/>
          <w:sz w:val="24"/>
          <w:szCs w:val="24"/>
          <w:lang w:val="es-ES"/>
        </w:rPr>
        <w:t xml:space="preserve">En los casos de que el archivo AVRO firmado y cifrado </w:t>
      </w:r>
      <w:r w:rsidRPr="00C6581E">
        <w:rPr>
          <w:rFonts w:ascii="Arial" w:hAnsi="Arial" w:cs="Arial"/>
          <w:sz w:val="24"/>
          <w:szCs w:val="24"/>
          <w:lang w:val="es-ES"/>
        </w:rPr>
        <w:t xml:space="preserve">tenga un tamaño </w:t>
      </w:r>
      <w:r>
        <w:rPr>
          <w:rFonts w:ascii="Arial" w:hAnsi="Arial" w:cs="Arial"/>
          <w:sz w:val="24"/>
          <w:szCs w:val="24"/>
          <w:lang w:val="es-ES"/>
        </w:rPr>
        <w:t>superior</w:t>
      </w:r>
      <w:r w:rsidRPr="00C6581E">
        <w:rPr>
          <w:rFonts w:ascii="Arial" w:hAnsi="Arial" w:cs="Arial"/>
          <w:sz w:val="24"/>
          <w:szCs w:val="24"/>
          <w:lang w:val="es-ES"/>
        </w:rPr>
        <w:t xml:space="preserve"> a 100 </w:t>
      </w:r>
      <w:r w:rsidRPr="00C6581E">
        <w:rPr>
          <w:rFonts w:ascii="Arial" w:hAnsi="Arial" w:cs="Arial"/>
          <w:sz w:val="24"/>
          <w:szCs w:val="24"/>
        </w:rPr>
        <w:t xml:space="preserve">MB, la entidad deberá particionarlo y transmitirlo en segmentos. </w:t>
      </w:r>
      <w:r>
        <w:rPr>
          <w:rFonts w:ascii="Arial" w:hAnsi="Arial" w:cs="Arial"/>
          <w:sz w:val="24"/>
          <w:szCs w:val="24"/>
        </w:rPr>
        <w:t xml:space="preserve">Para ello, debe desarrollar </w:t>
      </w:r>
      <w:r w:rsidRPr="00C6581E">
        <w:rPr>
          <w:rFonts w:ascii="Arial" w:hAnsi="Arial" w:cs="Arial"/>
          <w:sz w:val="24"/>
          <w:szCs w:val="24"/>
        </w:rPr>
        <w:t>los siguientes pasos:</w:t>
      </w:r>
    </w:p>
    <w:p w14:paraId="3BAEF3A2" w14:textId="78E51599" w:rsidR="00C6581E" w:rsidRPr="00C6581E" w:rsidRDefault="00C6581E" w:rsidP="00C6581E">
      <w:pPr>
        <w:numPr>
          <w:ilvl w:val="0"/>
          <w:numId w:val="3"/>
        </w:numPr>
        <w:pBdr>
          <w:top w:val="nil"/>
          <w:left w:val="nil"/>
          <w:bottom w:val="nil"/>
          <w:right w:val="nil"/>
          <w:between w:val="nil"/>
        </w:pBdr>
        <w:spacing w:before="80" w:line="300" w:lineRule="auto"/>
        <w:jc w:val="both"/>
        <w:rPr>
          <w:rFonts w:ascii="Arial" w:hAnsi="Arial" w:cs="Arial"/>
          <w:color w:val="000000"/>
          <w:sz w:val="24"/>
          <w:szCs w:val="24"/>
          <w:lang w:val="es-ES"/>
        </w:rPr>
      </w:pPr>
      <w:r w:rsidRPr="00C6581E">
        <w:rPr>
          <w:rFonts w:ascii="Arial" w:hAnsi="Arial" w:cs="Arial"/>
          <w:color w:val="000000" w:themeColor="text1"/>
          <w:sz w:val="24"/>
          <w:szCs w:val="24"/>
          <w:lang w:val="es-ES"/>
        </w:rPr>
        <w:t>Calcul</w:t>
      </w:r>
      <w:r>
        <w:rPr>
          <w:rFonts w:ascii="Arial" w:hAnsi="Arial" w:cs="Arial"/>
          <w:color w:val="000000" w:themeColor="text1"/>
          <w:sz w:val="24"/>
          <w:szCs w:val="24"/>
          <w:lang w:val="es-ES"/>
        </w:rPr>
        <w:t>ar</w:t>
      </w:r>
      <w:r w:rsidRPr="00C6581E">
        <w:rPr>
          <w:rFonts w:ascii="Arial" w:hAnsi="Arial" w:cs="Arial"/>
          <w:color w:val="000000" w:themeColor="text1"/>
          <w:sz w:val="24"/>
          <w:szCs w:val="24"/>
          <w:lang w:val="es-ES"/>
        </w:rPr>
        <w:t xml:space="preserve"> el hash SHA-256 del archivo .pgp original antes de particionarlo.</w:t>
      </w:r>
    </w:p>
    <w:p w14:paraId="41C55422" w14:textId="70B3F375" w:rsidR="00C6581E" w:rsidRPr="00C6581E" w:rsidRDefault="00C6581E" w:rsidP="00C6581E">
      <w:pPr>
        <w:numPr>
          <w:ilvl w:val="0"/>
          <w:numId w:val="3"/>
        </w:numPr>
        <w:pBdr>
          <w:top w:val="nil"/>
          <w:left w:val="nil"/>
          <w:bottom w:val="nil"/>
          <w:right w:val="nil"/>
          <w:between w:val="nil"/>
        </w:pBdr>
        <w:spacing w:before="80" w:line="300" w:lineRule="auto"/>
        <w:jc w:val="both"/>
        <w:rPr>
          <w:rFonts w:ascii="Arial" w:hAnsi="Arial" w:cs="Arial"/>
          <w:color w:val="000000"/>
          <w:sz w:val="24"/>
          <w:szCs w:val="24"/>
          <w:lang w:val="es-ES"/>
        </w:rPr>
      </w:pPr>
      <w:r w:rsidRPr="00C6581E">
        <w:rPr>
          <w:rFonts w:ascii="Arial" w:hAnsi="Arial" w:cs="Arial"/>
          <w:color w:val="000000" w:themeColor="text1"/>
          <w:sz w:val="24"/>
          <w:szCs w:val="24"/>
          <w:lang w:val="es-ES"/>
        </w:rPr>
        <w:t>Gener</w:t>
      </w:r>
      <w:r>
        <w:rPr>
          <w:rFonts w:ascii="Arial" w:hAnsi="Arial" w:cs="Arial"/>
          <w:color w:val="000000" w:themeColor="text1"/>
          <w:sz w:val="24"/>
          <w:szCs w:val="24"/>
          <w:lang w:val="es-ES"/>
        </w:rPr>
        <w:t>ar los</w:t>
      </w:r>
      <w:r w:rsidRPr="00C6581E">
        <w:rPr>
          <w:rFonts w:ascii="Arial" w:hAnsi="Arial" w:cs="Arial"/>
          <w:color w:val="000000" w:themeColor="text1"/>
          <w:sz w:val="24"/>
          <w:szCs w:val="24"/>
          <w:lang w:val="es-ES"/>
        </w:rPr>
        <w:t xml:space="preserve"> segmentos (chunks) con un tamaño máximo de 100 MB cada uno, conservando estrictamente el orden de los segmentos para permitir la reconstrucción del archivo en Azure.</w:t>
      </w:r>
    </w:p>
    <w:p w14:paraId="4A3984BA" w14:textId="77777777" w:rsidR="00C6581E" w:rsidRPr="00C6581E" w:rsidRDefault="00C6581E" w:rsidP="00C6581E">
      <w:pPr>
        <w:numPr>
          <w:ilvl w:val="0"/>
          <w:numId w:val="3"/>
        </w:numPr>
        <w:pBdr>
          <w:top w:val="nil"/>
          <w:left w:val="nil"/>
          <w:bottom w:val="nil"/>
          <w:right w:val="nil"/>
          <w:between w:val="nil"/>
        </w:pBdr>
        <w:spacing w:before="80" w:line="300" w:lineRule="auto"/>
        <w:jc w:val="both"/>
        <w:rPr>
          <w:rFonts w:ascii="Arial" w:hAnsi="Arial" w:cs="Arial"/>
          <w:color w:val="000000"/>
          <w:sz w:val="24"/>
          <w:szCs w:val="24"/>
        </w:rPr>
      </w:pPr>
      <w:r w:rsidRPr="00C6581E">
        <w:rPr>
          <w:rFonts w:ascii="Arial" w:hAnsi="Arial" w:cs="Arial"/>
          <w:color w:val="000000"/>
          <w:sz w:val="24"/>
          <w:szCs w:val="24"/>
        </w:rPr>
        <w:t>Nombre cada segmento con la siguiente nomenclatura:</w:t>
      </w:r>
    </w:p>
    <w:p w14:paraId="1BA5AE63" w14:textId="77777777" w:rsidR="00C6581E" w:rsidRPr="00C6581E" w:rsidRDefault="00C6581E" w:rsidP="00C6581E">
      <w:pPr>
        <w:spacing w:before="120" w:line="300" w:lineRule="auto"/>
        <w:jc w:val="both"/>
        <w:rPr>
          <w:rFonts w:ascii="Arial" w:hAnsi="Arial" w:cs="Arial"/>
          <w:sz w:val="24"/>
          <w:szCs w:val="24"/>
        </w:rPr>
      </w:pPr>
      <w:r w:rsidRPr="00C6581E">
        <w:rPr>
          <w:rFonts w:ascii="Arial" w:hAnsi="Arial" w:cs="Arial"/>
          <w:b/>
          <w:bCs/>
          <w:sz w:val="24"/>
          <w:szCs w:val="24"/>
          <w:lang w:val="es-ES"/>
        </w:rPr>
        <w:t xml:space="preserve">     &lt;tipo_entidad&gt;_&lt;codigo_entidad&gt;_&lt;fecha_corte&gt;.avro.part&lt;#_parte&gt;</w:t>
      </w:r>
    </w:p>
    <w:p w14:paraId="3E1FC523" w14:textId="77777777" w:rsidR="00C6581E" w:rsidRPr="00C6581E" w:rsidRDefault="00C6581E" w:rsidP="00C6581E">
      <w:pPr>
        <w:numPr>
          <w:ilvl w:val="0"/>
          <w:numId w:val="3"/>
        </w:numPr>
        <w:pBdr>
          <w:top w:val="nil"/>
          <w:left w:val="nil"/>
          <w:bottom w:val="nil"/>
          <w:right w:val="nil"/>
          <w:between w:val="nil"/>
        </w:pBdr>
        <w:spacing w:before="80" w:line="300" w:lineRule="auto"/>
        <w:jc w:val="both"/>
        <w:rPr>
          <w:rFonts w:ascii="Arial" w:hAnsi="Arial" w:cs="Arial"/>
          <w:color w:val="000000"/>
          <w:sz w:val="24"/>
          <w:szCs w:val="24"/>
          <w:lang w:val="es-ES"/>
        </w:rPr>
      </w:pPr>
      <w:r w:rsidRPr="00C6581E">
        <w:rPr>
          <w:rFonts w:ascii="Arial" w:hAnsi="Arial" w:cs="Arial"/>
          <w:color w:val="000000" w:themeColor="text1"/>
          <w:sz w:val="24"/>
          <w:szCs w:val="24"/>
          <w:lang w:val="es-ES"/>
        </w:rPr>
        <w:t>Transmita cada segmento al endpoint /fdi incluyendo en los headers: part_number (número del segmento), total_parts (total de segmentos), checksum_original (hash del archivo original) y Authorization (token JWT).</w:t>
      </w:r>
    </w:p>
    <w:p w14:paraId="63DA99E4" w14:textId="77777777" w:rsidR="00C6581E" w:rsidRPr="00C6581E" w:rsidRDefault="00C6581E" w:rsidP="00C6581E">
      <w:pPr>
        <w:numPr>
          <w:ilvl w:val="0"/>
          <w:numId w:val="3"/>
        </w:numPr>
        <w:pBdr>
          <w:top w:val="nil"/>
          <w:left w:val="nil"/>
          <w:bottom w:val="nil"/>
          <w:right w:val="nil"/>
          <w:between w:val="nil"/>
        </w:pBdr>
        <w:spacing w:before="80" w:line="300" w:lineRule="auto"/>
        <w:jc w:val="both"/>
        <w:rPr>
          <w:rFonts w:ascii="Arial" w:hAnsi="Arial" w:cs="Arial"/>
          <w:color w:val="000000"/>
          <w:sz w:val="24"/>
          <w:szCs w:val="24"/>
        </w:rPr>
      </w:pPr>
      <w:r w:rsidRPr="00C6581E">
        <w:rPr>
          <w:rFonts w:ascii="Arial" w:hAnsi="Arial" w:cs="Arial"/>
          <w:color w:val="000000"/>
          <w:sz w:val="24"/>
          <w:szCs w:val="24"/>
        </w:rPr>
        <w:t>Espere la respuesta HTTPS de cada envío y, si algún segmento resulta rechazado, corrija la incidencia y reenvíelo manteniendo el mismo orden.</w:t>
      </w:r>
    </w:p>
    <w:p w14:paraId="544EB949" w14:textId="7C281DD2" w:rsidR="00C6581E" w:rsidRDefault="00C6581E" w:rsidP="00C6581E">
      <w:pPr>
        <w:spacing w:before="180"/>
        <w:jc w:val="both"/>
        <w:rPr>
          <w:rFonts w:ascii="Arial" w:hAnsi="Arial" w:cs="Arial"/>
          <w:b/>
          <w:bCs/>
          <w:sz w:val="24"/>
          <w:szCs w:val="24"/>
        </w:rPr>
      </w:pPr>
    </w:p>
    <w:p w14:paraId="6B271037" w14:textId="77777777" w:rsidR="00C6581E" w:rsidRDefault="00C6581E" w:rsidP="00C6581E">
      <w:pPr>
        <w:spacing w:line="300" w:lineRule="auto"/>
        <w:jc w:val="both"/>
        <w:rPr>
          <w:rFonts w:ascii="Arial" w:hAnsi="Arial" w:cs="Arial"/>
          <w:sz w:val="24"/>
          <w:szCs w:val="24"/>
          <w:lang w:val="es-ES"/>
        </w:rPr>
      </w:pPr>
      <w:r w:rsidRPr="00C6581E">
        <w:rPr>
          <w:rFonts w:ascii="Arial" w:hAnsi="Arial" w:cs="Arial"/>
          <w:sz w:val="24"/>
          <w:szCs w:val="24"/>
          <w:lang w:val="es-ES"/>
        </w:rPr>
        <w:t>Una vez recibidos todos los segmentos (o el archivo completo), el sistema validará el nombre, la extensión, la presencia de los headers requeridos, la validez del token y, para envíos particionados, la consistencia del hash frente al archivo reconstruido. La API retornará una respuesta HTTPS indicando el estado del proceso. En caso de rechazo, la respuesta incluirá el motivo del error.</w:t>
      </w:r>
    </w:p>
    <w:p w14:paraId="5F6E0E1D" w14:textId="77777777" w:rsidR="00C6581E" w:rsidRPr="00C6581E" w:rsidRDefault="00C6581E" w:rsidP="00C6581E">
      <w:pPr>
        <w:spacing w:line="300" w:lineRule="auto"/>
        <w:jc w:val="both"/>
        <w:rPr>
          <w:rFonts w:ascii="Arial" w:hAnsi="Arial" w:cs="Arial"/>
          <w:sz w:val="24"/>
          <w:szCs w:val="24"/>
        </w:rPr>
      </w:pPr>
    </w:p>
    <w:p w14:paraId="54A600FF" w14:textId="23BE55E1" w:rsidR="00C6581E" w:rsidRPr="00C6581E" w:rsidRDefault="00C6581E" w:rsidP="00C6581E">
      <w:pPr>
        <w:pStyle w:val="Ttulo2"/>
        <w:spacing w:after="0"/>
        <w:jc w:val="both"/>
        <w:rPr>
          <w:rFonts w:ascii="Arial" w:eastAsia="Arial" w:hAnsi="Arial" w:cs="Arial"/>
          <w:color w:val="000000"/>
          <w:sz w:val="24"/>
          <w:szCs w:val="24"/>
          <w:lang w:val="es-ES"/>
        </w:rPr>
      </w:pPr>
      <w:r w:rsidRPr="00C6581E">
        <w:rPr>
          <w:rFonts w:ascii="Arial" w:eastAsia="Arial" w:hAnsi="Arial" w:cs="Arial"/>
          <w:b/>
          <w:color w:val="000000"/>
          <w:sz w:val="24"/>
          <w:szCs w:val="24"/>
          <w:lang w:val="es-ES"/>
        </w:rPr>
        <w:t>Método 2: AzCopy</w:t>
      </w:r>
    </w:p>
    <w:p w14:paraId="202BBE07" w14:textId="77777777" w:rsidR="00C6581E" w:rsidRDefault="00C6581E" w:rsidP="00C6581E">
      <w:pPr>
        <w:spacing w:line="300" w:lineRule="auto"/>
        <w:jc w:val="both"/>
        <w:rPr>
          <w:rFonts w:ascii="Arial" w:hAnsi="Arial" w:cs="Arial"/>
          <w:sz w:val="24"/>
          <w:szCs w:val="24"/>
          <w:lang w:val="es-ES"/>
        </w:rPr>
      </w:pPr>
    </w:p>
    <w:p w14:paraId="45B8CB12" w14:textId="7A1E30A4" w:rsidR="00C6581E" w:rsidRDefault="00C6581E" w:rsidP="00C6581E">
      <w:pPr>
        <w:spacing w:line="300" w:lineRule="auto"/>
        <w:jc w:val="both"/>
        <w:rPr>
          <w:rFonts w:ascii="Arial" w:hAnsi="Arial" w:cs="Arial"/>
          <w:color w:val="000000"/>
          <w:sz w:val="24"/>
          <w:szCs w:val="24"/>
          <w:lang w:val="es-ES"/>
        </w:rPr>
      </w:pPr>
      <w:r w:rsidRPr="00C6581E">
        <w:rPr>
          <w:rFonts w:ascii="Arial" w:hAnsi="Arial" w:cs="Arial"/>
          <w:sz w:val="24"/>
          <w:szCs w:val="24"/>
          <w:lang w:val="es-ES"/>
        </w:rPr>
        <w:t xml:space="preserve">Este método permite a la entidad transferir el archivo .pgp hacia una cuenta de Azure Data Lake Storage (ADLS) dispuesta por Fogafín, utilizando la herramienta AzCopy </w:t>
      </w:r>
      <w:r w:rsidRPr="00C6581E">
        <w:rPr>
          <w:rFonts w:ascii="Arial" w:hAnsi="Arial" w:cs="Arial"/>
          <w:sz w:val="24"/>
          <w:szCs w:val="24"/>
          <w:lang w:val="es-ES"/>
        </w:rPr>
        <w:lastRenderedPageBreak/>
        <w:t>distribuida oficialmente por Microsoft.</w:t>
      </w:r>
      <w:r>
        <w:rPr>
          <w:rFonts w:ascii="Arial" w:hAnsi="Arial" w:cs="Arial"/>
          <w:sz w:val="24"/>
          <w:szCs w:val="24"/>
          <w:lang w:val="es-ES"/>
        </w:rPr>
        <w:t xml:space="preserve"> Por lo cual, l</w:t>
      </w:r>
      <w:r w:rsidRPr="00C6581E">
        <w:rPr>
          <w:rFonts w:ascii="Arial" w:hAnsi="Arial" w:cs="Arial"/>
          <w:color w:val="000000"/>
          <w:sz w:val="24"/>
          <w:szCs w:val="24"/>
          <w:lang w:val="es-ES"/>
        </w:rPr>
        <w:t>a entidad deberá descargar la herramienta AzCopy desde la página oficial de Microsoft Azure (no requiere instalación, es un ejecutable).</w:t>
      </w:r>
    </w:p>
    <w:p w14:paraId="15FF64B1" w14:textId="65872F1F" w:rsidR="00C6581E" w:rsidRPr="00C6581E" w:rsidRDefault="00C6581E" w:rsidP="00C6581E">
      <w:pPr>
        <w:spacing w:before="120" w:line="300" w:lineRule="auto"/>
        <w:jc w:val="both"/>
        <w:rPr>
          <w:rFonts w:ascii="Arial" w:hAnsi="Arial" w:cs="Arial"/>
          <w:sz w:val="24"/>
          <w:szCs w:val="24"/>
        </w:rPr>
      </w:pPr>
      <w:r>
        <w:rPr>
          <w:rFonts w:ascii="Arial" w:hAnsi="Arial" w:cs="Arial"/>
          <w:sz w:val="24"/>
          <w:szCs w:val="24"/>
        </w:rPr>
        <w:t>En este caso, l</w:t>
      </w:r>
      <w:r w:rsidRPr="00C6581E">
        <w:rPr>
          <w:rFonts w:ascii="Arial" w:hAnsi="Arial" w:cs="Arial"/>
          <w:sz w:val="24"/>
          <w:szCs w:val="24"/>
        </w:rPr>
        <w:t>a entidad deberá autenticarse utilizando las credenciales del registro de aplicación:</w:t>
      </w:r>
    </w:p>
    <w:p w14:paraId="01C68E4E" w14:textId="77777777" w:rsidR="00C6581E" w:rsidRPr="00C6581E" w:rsidRDefault="00C6581E" w:rsidP="00C6581E">
      <w:pPr>
        <w:numPr>
          <w:ilvl w:val="0"/>
          <w:numId w:val="4"/>
        </w:numPr>
        <w:pBdr>
          <w:top w:val="nil"/>
          <w:left w:val="nil"/>
          <w:bottom w:val="nil"/>
          <w:right w:val="nil"/>
          <w:between w:val="nil"/>
        </w:pBdr>
        <w:spacing w:before="60" w:line="300" w:lineRule="auto"/>
        <w:jc w:val="both"/>
        <w:rPr>
          <w:rFonts w:ascii="Arial" w:hAnsi="Arial" w:cs="Arial"/>
          <w:sz w:val="24"/>
          <w:szCs w:val="24"/>
        </w:rPr>
      </w:pPr>
      <w:r w:rsidRPr="00C6581E">
        <w:rPr>
          <w:rFonts w:ascii="Arial" w:hAnsi="Arial" w:cs="Arial"/>
          <w:color w:val="000000"/>
          <w:sz w:val="24"/>
          <w:szCs w:val="24"/>
          <w:lang w:val="es-ES"/>
        </w:rPr>
        <w:t>Application ID (Client ID).</w:t>
      </w:r>
    </w:p>
    <w:p w14:paraId="394DFC0F" w14:textId="77777777" w:rsidR="00C6581E" w:rsidRPr="00C6581E" w:rsidRDefault="00C6581E" w:rsidP="00C6581E">
      <w:pPr>
        <w:numPr>
          <w:ilvl w:val="0"/>
          <w:numId w:val="4"/>
        </w:numPr>
        <w:pBdr>
          <w:top w:val="nil"/>
          <w:left w:val="nil"/>
          <w:bottom w:val="nil"/>
          <w:right w:val="nil"/>
          <w:between w:val="nil"/>
        </w:pBdr>
        <w:spacing w:before="60" w:line="300" w:lineRule="auto"/>
        <w:jc w:val="both"/>
        <w:rPr>
          <w:rFonts w:ascii="Arial" w:hAnsi="Arial" w:cs="Arial"/>
          <w:sz w:val="24"/>
          <w:szCs w:val="24"/>
        </w:rPr>
      </w:pPr>
      <w:r w:rsidRPr="00C6581E">
        <w:rPr>
          <w:rFonts w:ascii="Arial" w:hAnsi="Arial" w:cs="Arial"/>
          <w:color w:val="000000"/>
          <w:sz w:val="24"/>
          <w:szCs w:val="24"/>
          <w:lang w:val="es-ES"/>
        </w:rPr>
        <w:t>Tenant ID del tenant del Fondo.</w:t>
      </w:r>
    </w:p>
    <w:p w14:paraId="7FCBAE5A" w14:textId="77777777" w:rsidR="00C6581E" w:rsidRPr="00C6581E" w:rsidRDefault="00C6581E" w:rsidP="00C6581E">
      <w:pPr>
        <w:numPr>
          <w:ilvl w:val="0"/>
          <w:numId w:val="4"/>
        </w:numPr>
        <w:pBdr>
          <w:top w:val="nil"/>
          <w:left w:val="nil"/>
          <w:bottom w:val="nil"/>
          <w:right w:val="nil"/>
          <w:between w:val="nil"/>
        </w:pBdr>
        <w:spacing w:before="60" w:line="300" w:lineRule="auto"/>
        <w:jc w:val="both"/>
        <w:rPr>
          <w:rFonts w:ascii="Arial" w:hAnsi="Arial" w:cs="Arial"/>
          <w:color w:val="000000"/>
          <w:sz w:val="24"/>
          <w:szCs w:val="24"/>
          <w:lang w:val="es-ES"/>
        </w:rPr>
      </w:pPr>
      <w:r w:rsidRPr="00C6581E">
        <w:rPr>
          <w:rFonts w:ascii="Arial" w:hAnsi="Arial" w:cs="Arial"/>
          <w:color w:val="000000"/>
          <w:sz w:val="24"/>
          <w:szCs w:val="24"/>
          <w:lang w:val="es-ES"/>
        </w:rPr>
        <w:t>Client Secret (token de transmisión vigente).</w:t>
      </w:r>
    </w:p>
    <w:p w14:paraId="43ECC0E9" w14:textId="77777777" w:rsidR="00C6581E" w:rsidRPr="00C6581E" w:rsidRDefault="00C6581E" w:rsidP="00C6581E">
      <w:pPr>
        <w:spacing w:line="300" w:lineRule="auto"/>
        <w:jc w:val="both"/>
        <w:rPr>
          <w:rFonts w:ascii="Arial" w:hAnsi="Arial" w:cs="Arial"/>
          <w:sz w:val="24"/>
          <w:szCs w:val="24"/>
        </w:rPr>
      </w:pPr>
    </w:p>
    <w:p w14:paraId="73795D5B" w14:textId="77777777" w:rsidR="00C6581E" w:rsidRPr="00C6581E" w:rsidRDefault="00C6581E" w:rsidP="00C6581E">
      <w:pPr>
        <w:pStyle w:val="Prrafodelista"/>
        <w:numPr>
          <w:ilvl w:val="0"/>
          <w:numId w:val="7"/>
        </w:numPr>
        <w:spacing w:before="180"/>
        <w:jc w:val="both"/>
        <w:rPr>
          <w:sz w:val="24"/>
          <w:szCs w:val="24"/>
        </w:rPr>
      </w:pPr>
      <w:r w:rsidRPr="00C6581E">
        <w:rPr>
          <w:b/>
          <w:bCs/>
          <w:sz w:val="24"/>
          <w:szCs w:val="24"/>
        </w:rPr>
        <w:t>Estructura de carpetas</w:t>
      </w:r>
    </w:p>
    <w:p w14:paraId="4626DC71" w14:textId="77777777" w:rsidR="00C6581E" w:rsidRDefault="00C6581E" w:rsidP="00C6581E">
      <w:pPr>
        <w:spacing w:before="180"/>
        <w:jc w:val="both"/>
        <w:rPr>
          <w:color w:val="000000"/>
          <w:sz w:val="24"/>
          <w:szCs w:val="24"/>
          <w:lang w:val="es-ES"/>
        </w:rPr>
      </w:pPr>
    </w:p>
    <w:p w14:paraId="166DD3F2" w14:textId="3A4D64F5" w:rsidR="00C6581E" w:rsidRPr="00C6581E" w:rsidRDefault="00C6581E" w:rsidP="00C6581E">
      <w:pPr>
        <w:spacing w:line="300" w:lineRule="auto"/>
        <w:jc w:val="both"/>
        <w:rPr>
          <w:rFonts w:ascii="Arial" w:hAnsi="Arial" w:cs="Arial"/>
          <w:color w:val="000000"/>
          <w:sz w:val="24"/>
          <w:szCs w:val="24"/>
          <w:lang w:val="es-ES"/>
        </w:rPr>
      </w:pPr>
      <w:r w:rsidRPr="00C6581E">
        <w:rPr>
          <w:rFonts w:ascii="Arial" w:hAnsi="Arial" w:cs="Arial"/>
          <w:color w:val="000000"/>
          <w:sz w:val="24"/>
          <w:szCs w:val="24"/>
          <w:lang w:val="es-ES"/>
        </w:rPr>
        <w:t>Para cada entidad inscrita, Fogafín dispondrá dentro del almacenamiento una estructura de directorios con la forma /tipent&lt;n&gt;/codent&lt;n&gt;, la cual contendrá las siguientes subcarpetas:</w:t>
      </w:r>
    </w:p>
    <w:p w14:paraId="0E6898B3" w14:textId="77777777" w:rsidR="00C6581E" w:rsidRPr="00C6581E" w:rsidRDefault="00C6581E" w:rsidP="00C6581E">
      <w:pPr>
        <w:numPr>
          <w:ilvl w:val="0"/>
          <w:numId w:val="5"/>
        </w:numPr>
        <w:spacing w:before="240" w:line="300" w:lineRule="auto"/>
        <w:jc w:val="both"/>
        <w:rPr>
          <w:rFonts w:ascii="Arial" w:hAnsi="Arial" w:cs="Arial"/>
          <w:sz w:val="24"/>
          <w:szCs w:val="24"/>
        </w:rPr>
      </w:pPr>
      <w:r w:rsidRPr="00C6581E">
        <w:rPr>
          <w:rFonts w:ascii="Arial" w:hAnsi="Arial" w:cs="Arial"/>
          <w:b/>
          <w:bCs/>
          <w:sz w:val="24"/>
          <w:szCs w:val="24"/>
        </w:rPr>
        <w:t>Entrada</w:t>
      </w:r>
      <w:r w:rsidRPr="00C6581E">
        <w:rPr>
          <w:rFonts w:ascii="Arial" w:hAnsi="Arial" w:cs="Arial"/>
          <w:sz w:val="24"/>
          <w:szCs w:val="24"/>
        </w:rPr>
        <w:t xml:space="preserve"> </w:t>
      </w:r>
      <w:r w:rsidRPr="00C6581E">
        <w:rPr>
          <w:rFonts w:ascii="Arial" w:hAnsi="Arial" w:cs="Arial"/>
          <w:i/>
          <w:iCs/>
          <w:sz w:val="24"/>
          <w:szCs w:val="24"/>
        </w:rPr>
        <w:t>(con permisos de escritura)</w:t>
      </w:r>
      <w:r w:rsidRPr="00C6581E">
        <w:rPr>
          <w:rFonts w:ascii="Arial" w:hAnsi="Arial" w:cs="Arial"/>
          <w:sz w:val="24"/>
          <w:szCs w:val="24"/>
        </w:rPr>
        <w:t>: directorio destinado al cargue de los archivos que la entidad desea transmitir al Fondo.</w:t>
      </w:r>
    </w:p>
    <w:p w14:paraId="5DB6BDD4" w14:textId="77777777" w:rsidR="00C6581E" w:rsidRDefault="00C6581E" w:rsidP="00C6581E">
      <w:pPr>
        <w:numPr>
          <w:ilvl w:val="0"/>
          <w:numId w:val="5"/>
        </w:numPr>
        <w:spacing w:line="300" w:lineRule="auto"/>
        <w:jc w:val="both"/>
        <w:rPr>
          <w:rFonts w:ascii="Arial" w:hAnsi="Arial" w:cs="Arial"/>
          <w:sz w:val="24"/>
          <w:szCs w:val="24"/>
        </w:rPr>
      </w:pPr>
      <w:r w:rsidRPr="00C6581E">
        <w:rPr>
          <w:rFonts w:ascii="Arial" w:hAnsi="Arial" w:cs="Arial"/>
          <w:b/>
          <w:bCs/>
          <w:sz w:val="24"/>
          <w:szCs w:val="24"/>
        </w:rPr>
        <w:t>Salida</w:t>
      </w:r>
      <w:r w:rsidRPr="00C6581E">
        <w:rPr>
          <w:rFonts w:ascii="Arial" w:hAnsi="Arial" w:cs="Arial"/>
          <w:sz w:val="24"/>
          <w:szCs w:val="24"/>
        </w:rPr>
        <w:t xml:space="preserve"> </w:t>
      </w:r>
      <w:r w:rsidRPr="00C6581E">
        <w:rPr>
          <w:rFonts w:ascii="Arial" w:hAnsi="Arial" w:cs="Arial"/>
          <w:i/>
          <w:iCs/>
          <w:sz w:val="24"/>
          <w:szCs w:val="24"/>
        </w:rPr>
        <w:t>(con permisos de lectura)</w:t>
      </w:r>
      <w:r w:rsidRPr="00C6581E">
        <w:rPr>
          <w:rFonts w:ascii="Arial" w:hAnsi="Arial" w:cs="Arial"/>
          <w:sz w:val="24"/>
          <w:szCs w:val="24"/>
        </w:rPr>
        <w:t>: directorio desde el cual la entidad podrá consultar y descargar los archivos de respuesta generados por el Fondo.</w:t>
      </w:r>
    </w:p>
    <w:p w14:paraId="2B4BFED6" w14:textId="77777777" w:rsidR="00C6581E" w:rsidRPr="00C6581E" w:rsidRDefault="00C6581E" w:rsidP="00C6581E">
      <w:pPr>
        <w:spacing w:line="300" w:lineRule="auto"/>
        <w:ind w:left="720"/>
        <w:jc w:val="both"/>
        <w:rPr>
          <w:rFonts w:ascii="Arial" w:hAnsi="Arial" w:cs="Arial"/>
          <w:sz w:val="24"/>
          <w:szCs w:val="24"/>
        </w:rPr>
      </w:pPr>
    </w:p>
    <w:p w14:paraId="469D4DB3" w14:textId="18FF830F" w:rsidR="00C6581E" w:rsidRPr="00C6581E" w:rsidRDefault="00C6581E" w:rsidP="00C6581E">
      <w:pPr>
        <w:pStyle w:val="Prrafodelista"/>
        <w:numPr>
          <w:ilvl w:val="0"/>
          <w:numId w:val="7"/>
        </w:numPr>
        <w:spacing w:before="180"/>
        <w:jc w:val="both"/>
        <w:rPr>
          <w:sz w:val="24"/>
          <w:szCs w:val="24"/>
        </w:rPr>
      </w:pPr>
      <w:r w:rsidRPr="00C6581E">
        <w:rPr>
          <w:b/>
          <w:bCs/>
          <w:sz w:val="24"/>
          <w:szCs w:val="24"/>
        </w:rPr>
        <w:t>Envío del archivo</w:t>
      </w:r>
    </w:p>
    <w:p w14:paraId="3F4AC107" w14:textId="77777777" w:rsidR="00C6581E" w:rsidRDefault="00C6581E" w:rsidP="00C6581E">
      <w:pPr>
        <w:spacing w:line="300" w:lineRule="auto"/>
        <w:jc w:val="both"/>
        <w:rPr>
          <w:rFonts w:ascii="Arial" w:hAnsi="Arial" w:cs="Arial"/>
          <w:sz w:val="24"/>
          <w:szCs w:val="24"/>
          <w:lang w:val="es-ES"/>
        </w:rPr>
      </w:pPr>
    </w:p>
    <w:p w14:paraId="1BBAA425" w14:textId="1D7C2957" w:rsidR="00C6581E" w:rsidRPr="00C6581E" w:rsidRDefault="00C6581E" w:rsidP="00C6581E">
      <w:pPr>
        <w:spacing w:line="300" w:lineRule="auto"/>
        <w:jc w:val="both"/>
        <w:rPr>
          <w:rFonts w:ascii="Arial" w:hAnsi="Arial" w:cs="Arial"/>
          <w:sz w:val="24"/>
          <w:szCs w:val="24"/>
        </w:rPr>
      </w:pPr>
      <w:r w:rsidRPr="00C6581E">
        <w:rPr>
          <w:rFonts w:ascii="Arial" w:hAnsi="Arial" w:cs="Arial"/>
          <w:sz w:val="24"/>
          <w:szCs w:val="24"/>
          <w:lang w:val="es-ES"/>
        </w:rPr>
        <w:t xml:space="preserve">El proceso automático de la entidad deberá autenticarse utilizando el Application ID (Client ID), el Tenant ID y el Client Secret (token de transmisión). Mediante los comandos de AzCopy se transferirá el archivo .pgp desde el entorno de la entidad hacia la carpeta Entrada del ADLS del Fondo. Los archivos son recibidos inicialmente en el contenedor stage del ADLS dispuesto por el Fondo. </w:t>
      </w:r>
    </w:p>
    <w:p w14:paraId="5F5B2534" w14:textId="77777777" w:rsidR="00C6581E" w:rsidRPr="00AE67DB" w:rsidRDefault="00C6581E" w:rsidP="00C6581E">
      <w:pPr>
        <w:spacing w:line="300" w:lineRule="auto"/>
        <w:jc w:val="both"/>
        <w:rPr>
          <w:rFonts w:ascii="Arial" w:hAnsi="Arial" w:cs="Arial"/>
          <w:b/>
          <w:bCs/>
          <w:sz w:val="24"/>
          <w:szCs w:val="24"/>
          <w:lang w:val="es-CO"/>
        </w:rPr>
      </w:pPr>
    </w:p>
    <w:p w14:paraId="6237EA4B" w14:textId="31DBFBE4" w:rsidR="00C6581E" w:rsidRPr="00C6581E" w:rsidRDefault="00C6581E" w:rsidP="00C6581E">
      <w:pPr>
        <w:spacing w:line="300" w:lineRule="auto"/>
        <w:jc w:val="both"/>
        <w:rPr>
          <w:rFonts w:ascii="Arial" w:hAnsi="Arial" w:cs="Arial"/>
          <w:b/>
          <w:bCs/>
          <w:sz w:val="24"/>
          <w:szCs w:val="24"/>
          <w:lang w:val="en-US"/>
        </w:rPr>
      </w:pPr>
      <w:r w:rsidRPr="00C6581E">
        <w:rPr>
          <w:rFonts w:ascii="Arial" w:hAnsi="Arial" w:cs="Arial"/>
          <w:b/>
          <w:bCs/>
          <w:sz w:val="24"/>
          <w:szCs w:val="24"/>
          <w:lang w:val="en-US"/>
        </w:rPr>
        <w:t>Comando Autenticación</w:t>
      </w:r>
    </w:p>
    <w:p w14:paraId="16242AB2" w14:textId="77777777" w:rsidR="00C6581E" w:rsidRPr="00C6581E" w:rsidRDefault="00C6581E" w:rsidP="00C6581E">
      <w:pPr>
        <w:spacing w:line="300" w:lineRule="auto"/>
        <w:jc w:val="both"/>
        <w:rPr>
          <w:rFonts w:ascii="Arial" w:hAnsi="Arial" w:cs="Arial"/>
          <w:sz w:val="24"/>
          <w:szCs w:val="24"/>
          <w:lang w:val="en-US"/>
        </w:rPr>
      </w:pPr>
      <w:r w:rsidRPr="00C6581E">
        <w:rPr>
          <w:rFonts w:ascii="Arial" w:hAnsi="Arial" w:cs="Arial"/>
          <w:sz w:val="24"/>
          <w:szCs w:val="24"/>
          <w:lang w:val="en-US"/>
        </w:rPr>
        <w:t>$env:AZCOPY_SPA_CLIENT_SECRET="CLIENT_SECRET"</w:t>
      </w:r>
    </w:p>
    <w:p w14:paraId="0486B447" w14:textId="77777777" w:rsidR="00C6581E" w:rsidRPr="00C6581E" w:rsidRDefault="00C6581E" w:rsidP="00C6581E">
      <w:pPr>
        <w:spacing w:line="300" w:lineRule="auto"/>
        <w:jc w:val="both"/>
        <w:rPr>
          <w:rFonts w:ascii="Arial" w:hAnsi="Arial" w:cs="Arial"/>
          <w:sz w:val="24"/>
          <w:szCs w:val="24"/>
          <w:lang w:val="en-US"/>
        </w:rPr>
      </w:pPr>
      <w:r w:rsidRPr="00C6581E">
        <w:rPr>
          <w:rFonts w:ascii="Arial" w:hAnsi="Arial" w:cs="Arial"/>
          <w:sz w:val="24"/>
          <w:szCs w:val="24"/>
          <w:lang w:val="en-US"/>
        </w:rPr>
        <w:t>azcopy login --service-principal --application-id &lt;APPLICATION_ID&gt; --tenant-id &lt;TENANT_ID&gt;</w:t>
      </w:r>
    </w:p>
    <w:p w14:paraId="4A14883D" w14:textId="77777777" w:rsidR="00C6581E" w:rsidRPr="00AE67DB" w:rsidRDefault="00C6581E" w:rsidP="00C6581E">
      <w:pPr>
        <w:spacing w:line="300" w:lineRule="auto"/>
        <w:jc w:val="both"/>
        <w:rPr>
          <w:rFonts w:ascii="Arial" w:hAnsi="Arial" w:cs="Arial"/>
          <w:b/>
          <w:bCs/>
          <w:sz w:val="24"/>
          <w:szCs w:val="24"/>
          <w:lang w:val="en-US"/>
        </w:rPr>
      </w:pPr>
    </w:p>
    <w:p w14:paraId="3EBEB174" w14:textId="46AF31C1" w:rsidR="00C6581E" w:rsidRPr="00C6581E" w:rsidRDefault="00C6581E" w:rsidP="00C6581E">
      <w:pPr>
        <w:spacing w:line="300" w:lineRule="auto"/>
        <w:jc w:val="both"/>
        <w:rPr>
          <w:rFonts w:ascii="Arial" w:hAnsi="Arial" w:cs="Arial"/>
          <w:b/>
          <w:bCs/>
          <w:sz w:val="24"/>
          <w:szCs w:val="24"/>
        </w:rPr>
      </w:pPr>
      <w:r w:rsidRPr="00C6581E">
        <w:rPr>
          <w:rFonts w:ascii="Arial" w:hAnsi="Arial" w:cs="Arial"/>
          <w:b/>
          <w:bCs/>
          <w:sz w:val="24"/>
          <w:szCs w:val="24"/>
        </w:rPr>
        <w:t>Comando Transmisión</w:t>
      </w:r>
    </w:p>
    <w:p w14:paraId="34AA88AE" w14:textId="77777777" w:rsidR="00C6581E" w:rsidRPr="00C6581E" w:rsidRDefault="00C6581E" w:rsidP="00C6581E">
      <w:pPr>
        <w:spacing w:line="300" w:lineRule="auto"/>
        <w:jc w:val="both"/>
        <w:rPr>
          <w:rFonts w:ascii="Arial" w:hAnsi="Arial" w:cs="Arial"/>
          <w:sz w:val="24"/>
          <w:szCs w:val="24"/>
        </w:rPr>
      </w:pPr>
      <w:r w:rsidRPr="00C6581E">
        <w:rPr>
          <w:rFonts w:ascii="Arial" w:hAnsi="Arial" w:cs="Arial"/>
          <w:sz w:val="24"/>
          <w:szCs w:val="24"/>
          <w:lang w:val="es-ES"/>
        </w:rPr>
        <w:t>azcopy copy "&lt;ruta_origen&gt;" "</w:t>
      </w:r>
      <w:hyperlink w:history="1">
        <w:r w:rsidRPr="00C6581E">
          <w:rPr>
            <w:rStyle w:val="Hipervnculo"/>
            <w:rFonts w:ascii="Arial" w:hAnsi="Arial" w:cs="Arial"/>
            <w:sz w:val="24"/>
            <w:szCs w:val="24"/>
            <w:lang w:val="es-ES"/>
          </w:rPr>
          <w:t>https://&lt;storage-account&gt;.dfs.core.windows.net/&lt;contenedor&gt;/&lt;tipent&lt;n&gt;/codent&lt;n&gt;/Entrada/&lt;archivo</w:t>
        </w:r>
      </w:hyperlink>
      <w:r w:rsidRPr="00C6581E">
        <w:rPr>
          <w:rFonts w:ascii="Arial" w:hAnsi="Arial" w:cs="Arial"/>
          <w:sz w:val="24"/>
          <w:szCs w:val="24"/>
          <w:lang w:val="es-ES"/>
        </w:rPr>
        <w:t>&gt;"</w:t>
      </w:r>
    </w:p>
    <w:p w14:paraId="0D4A5760" w14:textId="77777777" w:rsidR="00C6581E" w:rsidRPr="00C6581E" w:rsidRDefault="00C6581E" w:rsidP="00C6581E">
      <w:pPr>
        <w:spacing w:line="300" w:lineRule="auto"/>
        <w:jc w:val="both"/>
        <w:rPr>
          <w:rFonts w:ascii="Arial" w:hAnsi="Arial" w:cs="Arial"/>
          <w:sz w:val="24"/>
          <w:szCs w:val="24"/>
          <w:lang w:val="es-ES"/>
        </w:rPr>
      </w:pPr>
    </w:p>
    <w:p w14:paraId="7806C162" w14:textId="77777777" w:rsidR="00C6581E" w:rsidRPr="00C6581E" w:rsidRDefault="00C6581E" w:rsidP="00C6581E">
      <w:pPr>
        <w:spacing w:before="240" w:line="300" w:lineRule="auto"/>
        <w:jc w:val="both"/>
        <w:rPr>
          <w:rFonts w:ascii="Arial" w:hAnsi="Arial" w:cs="Arial"/>
          <w:sz w:val="24"/>
          <w:szCs w:val="24"/>
        </w:rPr>
      </w:pPr>
      <w:r w:rsidRPr="00C6581E">
        <w:rPr>
          <w:rFonts w:ascii="Arial" w:hAnsi="Arial" w:cs="Arial"/>
          <w:sz w:val="24"/>
          <w:szCs w:val="24"/>
        </w:rPr>
        <w:t>Donde:</w:t>
      </w:r>
    </w:p>
    <w:p w14:paraId="3635BFB1" w14:textId="77777777" w:rsidR="00C6581E" w:rsidRPr="00C6581E" w:rsidRDefault="00C6581E" w:rsidP="00C6581E">
      <w:pPr>
        <w:numPr>
          <w:ilvl w:val="0"/>
          <w:numId w:val="1"/>
        </w:numPr>
        <w:spacing w:line="300" w:lineRule="auto"/>
        <w:rPr>
          <w:rFonts w:ascii="Arial" w:hAnsi="Arial" w:cs="Arial"/>
          <w:sz w:val="24"/>
          <w:szCs w:val="24"/>
          <w:lang w:val="es-ES"/>
        </w:rPr>
      </w:pPr>
      <w:r w:rsidRPr="00C6581E">
        <w:rPr>
          <w:rFonts w:ascii="Arial" w:eastAsia="Consolas" w:hAnsi="Arial" w:cs="Arial"/>
          <w:b/>
          <w:bCs/>
          <w:sz w:val="24"/>
          <w:szCs w:val="24"/>
          <w:lang w:val="es-ES"/>
        </w:rPr>
        <w:t>&lt;ruta_origen&gt;</w:t>
      </w:r>
      <w:r w:rsidRPr="00C6581E">
        <w:rPr>
          <w:rFonts w:ascii="Arial" w:hAnsi="Arial" w:cs="Arial"/>
          <w:sz w:val="24"/>
          <w:szCs w:val="24"/>
          <w:lang w:val="es-ES"/>
        </w:rPr>
        <w:t xml:space="preserve">: ruta local del archivo a transmitir. </w:t>
      </w:r>
    </w:p>
    <w:p w14:paraId="4707C324"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&lt;storage-account&gt;</w:t>
      </w:r>
      <w:r w:rsidRPr="00C6581E">
        <w:rPr>
          <w:sz w:val="24"/>
          <w:szCs w:val="24"/>
          <w:lang w:val="es-ES"/>
        </w:rPr>
        <w:t>: nombre de la cuenta de almacenamiento (</w:t>
      </w:r>
      <w:r w:rsidRPr="00C6581E">
        <w:rPr>
          <w:b/>
          <w:bCs/>
          <w:sz w:val="24"/>
          <w:szCs w:val="24"/>
          <w:lang w:val="es-ES"/>
        </w:rPr>
        <w:t>dlsprdtransmisionfdi</w:t>
      </w:r>
      <w:r w:rsidRPr="00C6581E">
        <w:rPr>
          <w:sz w:val="24"/>
          <w:szCs w:val="24"/>
          <w:lang w:val="es-ES"/>
        </w:rPr>
        <w:t xml:space="preserve">). </w:t>
      </w:r>
    </w:p>
    <w:p w14:paraId="0FD60DC1"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&lt;contenedor&gt;</w:t>
      </w:r>
      <w:r w:rsidRPr="00C6581E">
        <w:rPr>
          <w:sz w:val="24"/>
          <w:szCs w:val="24"/>
          <w:lang w:val="es-ES"/>
        </w:rPr>
        <w:t>: contenedor asignado por Fogafín (</w:t>
      </w:r>
      <w:r w:rsidRPr="00C6581E">
        <w:rPr>
          <w:b/>
          <w:bCs/>
          <w:sz w:val="24"/>
          <w:szCs w:val="24"/>
          <w:lang w:val="es-ES"/>
        </w:rPr>
        <w:t>recepcion</w:t>
      </w:r>
      <w:r w:rsidRPr="00C6581E">
        <w:rPr>
          <w:sz w:val="24"/>
          <w:szCs w:val="24"/>
          <w:lang w:val="es-ES"/>
        </w:rPr>
        <w:t xml:space="preserve">). </w:t>
      </w:r>
      <w:r w:rsidRPr="00C6581E">
        <w:rPr>
          <w:color w:val="000000" w:themeColor="text1"/>
          <w:sz w:val="24"/>
          <w:szCs w:val="24"/>
          <w:lang w:val="es-ES"/>
        </w:rPr>
        <w:t xml:space="preserve"> </w:t>
      </w:r>
      <w:r w:rsidRPr="00C6581E">
        <w:rPr>
          <w:sz w:val="24"/>
          <w:szCs w:val="24"/>
          <w:lang w:val="es-ES"/>
        </w:rPr>
        <w:t xml:space="preserve"> </w:t>
      </w:r>
    </w:p>
    <w:p w14:paraId="21DA5824" w14:textId="77777777" w:rsidR="00C6581E" w:rsidRPr="00C6581E" w:rsidRDefault="00C6581E" w:rsidP="00C6581E">
      <w:pPr>
        <w:pStyle w:val="Prrafodelista"/>
        <w:rPr>
          <w:sz w:val="24"/>
          <w:szCs w:val="24"/>
          <w:lang w:val="es-ES"/>
        </w:rPr>
      </w:pPr>
    </w:p>
    <w:p w14:paraId="50742B4D"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&lt;tipent&lt;n&gt;/codent&lt;n&gt;/Entrada/</w:t>
      </w:r>
      <w:r w:rsidRPr="00C6581E">
        <w:rPr>
          <w:sz w:val="24"/>
          <w:szCs w:val="24"/>
          <w:lang w:val="es-ES"/>
        </w:rPr>
        <w:t xml:space="preserve">: ruta correspondiente a la entidad dentro del storage. </w:t>
      </w:r>
    </w:p>
    <w:p w14:paraId="13AE1B17" w14:textId="77777777" w:rsidR="00C6581E" w:rsidRPr="00C6581E" w:rsidRDefault="00C6581E" w:rsidP="00C6581E">
      <w:pPr>
        <w:pStyle w:val="Prrafodelista"/>
        <w:numPr>
          <w:ilvl w:val="0"/>
          <w:numId w:val="1"/>
        </w:numPr>
        <w:rPr>
          <w:sz w:val="24"/>
          <w:szCs w:val="24"/>
        </w:rPr>
      </w:pPr>
      <w:r w:rsidRPr="00C6581E">
        <w:rPr>
          <w:rFonts w:eastAsia="Consolas"/>
          <w:b/>
          <w:bCs/>
          <w:sz w:val="24"/>
          <w:szCs w:val="24"/>
          <w:lang w:val="es-ES"/>
        </w:rPr>
        <w:t>&lt;archivo&gt;</w:t>
      </w:r>
      <w:r w:rsidRPr="00C6581E">
        <w:rPr>
          <w:sz w:val="24"/>
          <w:szCs w:val="24"/>
          <w:lang w:val="es-ES"/>
        </w:rPr>
        <w:t xml:space="preserve">: </w:t>
      </w:r>
      <w:r w:rsidRPr="00C6581E">
        <w:rPr>
          <w:sz w:val="24"/>
          <w:szCs w:val="24"/>
        </w:rPr>
        <w:t>nombre del archivo a cargar.</w:t>
      </w:r>
    </w:p>
    <w:p w14:paraId="19520D56" w14:textId="77777777" w:rsidR="00C6581E" w:rsidRPr="00C6581E" w:rsidRDefault="00C6581E" w:rsidP="00C6581E">
      <w:pPr>
        <w:spacing w:line="300" w:lineRule="auto"/>
        <w:jc w:val="both"/>
        <w:rPr>
          <w:rFonts w:ascii="Arial" w:hAnsi="Arial" w:cs="Arial"/>
          <w:sz w:val="24"/>
          <w:szCs w:val="24"/>
          <w:lang w:val="es-ES"/>
        </w:rPr>
      </w:pPr>
    </w:p>
    <w:p w14:paraId="7BD656C2" w14:textId="77777777" w:rsidR="00C6581E" w:rsidRPr="00C6581E" w:rsidRDefault="00C6581E" w:rsidP="00C6581E">
      <w:pPr>
        <w:spacing w:line="300" w:lineRule="auto"/>
        <w:jc w:val="both"/>
        <w:rPr>
          <w:rFonts w:ascii="Arial" w:hAnsi="Arial" w:cs="Arial"/>
          <w:b/>
          <w:bCs/>
          <w:sz w:val="24"/>
          <w:szCs w:val="24"/>
        </w:rPr>
      </w:pPr>
      <w:r w:rsidRPr="00C6581E">
        <w:rPr>
          <w:rFonts w:ascii="Arial" w:hAnsi="Arial" w:cs="Arial"/>
          <w:b/>
          <w:bCs/>
          <w:sz w:val="24"/>
          <w:szCs w:val="24"/>
        </w:rPr>
        <w:t xml:space="preserve">Comando Consulta </w:t>
      </w:r>
    </w:p>
    <w:p w14:paraId="68CB4B5B" w14:textId="77777777" w:rsidR="00C6581E" w:rsidRPr="00C6581E" w:rsidRDefault="00C6581E" w:rsidP="00C6581E">
      <w:pPr>
        <w:spacing w:line="300" w:lineRule="auto"/>
        <w:jc w:val="both"/>
        <w:rPr>
          <w:rFonts w:ascii="Arial" w:hAnsi="Arial" w:cs="Arial"/>
          <w:sz w:val="24"/>
          <w:szCs w:val="24"/>
        </w:rPr>
      </w:pPr>
      <w:r w:rsidRPr="00C6581E">
        <w:rPr>
          <w:rFonts w:ascii="Arial" w:hAnsi="Arial" w:cs="Arial"/>
          <w:sz w:val="24"/>
          <w:szCs w:val="24"/>
          <w:lang w:val="es-CO"/>
        </w:rPr>
        <w:t>azcopy copy "https://&lt;storage-account&gt;.dfs.core.windows.net/&lt;contenedor&gt;/&lt;tipent&lt;n&gt;/codent&lt;n&gt;/Salida/&lt;archivo&gt;" "&lt;ruta_destino_local&gt;" --recursive=false</w:t>
      </w:r>
    </w:p>
    <w:p w14:paraId="5A16DE10" w14:textId="77777777" w:rsidR="00C6581E" w:rsidRPr="00C6581E" w:rsidRDefault="00C6581E" w:rsidP="00C6581E">
      <w:pPr>
        <w:spacing w:before="240" w:line="300" w:lineRule="auto"/>
        <w:jc w:val="both"/>
        <w:rPr>
          <w:rFonts w:ascii="Arial" w:hAnsi="Arial" w:cs="Arial"/>
          <w:sz w:val="24"/>
          <w:szCs w:val="24"/>
        </w:rPr>
      </w:pPr>
      <w:r w:rsidRPr="00C6581E">
        <w:rPr>
          <w:rFonts w:ascii="Arial" w:hAnsi="Arial" w:cs="Arial"/>
          <w:sz w:val="24"/>
          <w:szCs w:val="24"/>
        </w:rPr>
        <w:t>Donde:</w:t>
      </w:r>
    </w:p>
    <w:p w14:paraId="3A51FD41" w14:textId="77777777" w:rsidR="00C6581E" w:rsidRPr="00C6581E" w:rsidRDefault="00C6581E" w:rsidP="00C6581E">
      <w:pPr>
        <w:numPr>
          <w:ilvl w:val="0"/>
          <w:numId w:val="1"/>
        </w:numPr>
        <w:spacing w:line="300" w:lineRule="auto"/>
        <w:rPr>
          <w:rFonts w:ascii="Arial" w:hAnsi="Arial" w:cs="Arial"/>
          <w:sz w:val="24"/>
          <w:szCs w:val="24"/>
          <w:lang w:val="es-ES"/>
        </w:rPr>
      </w:pPr>
      <w:r w:rsidRPr="00C6581E">
        <w:rPr>
          <w:rFonts w:ascii="Arial" w:eastAsia="Consolas" w:hAnsi="Arial" w:cs="Arial"/>
          <w:b/>
          <w:bCs/>
          <w:sz w:val="24"/>
          <w:szCs w:val="24"/>
          <w:lang w:val="es-ES"/>
        </w:rPr>
        <w:t>&lt;ruta_destino&gt;</w:t>
      </w:r>
      <w:r w:rsidRPr="00C6581E">
        <w:rPr>
          <w:rFonts w:ascii="Arial" w:hAnsi="Arial" w:cs="Arial"/>
          <w:sz w:val="24"/>
          <w:szCs w:val="24"/>
          <w:lang w:val="es-ES"/>
        </w:rPr>
        <w:t xml:space="preserve">: ruta local donde se descargará el archivo de estado. </w:t>
      </w:r>
    </w:p>
    <w:p w14:paraId="766D8099"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&lt;storage-account&gt;</w:t>
      </w:r>
      <w:r w:rsidRPr="00C6581E">
        <w:rPr>
          <w:sz w:val="24"/>
          <w:szCs w:val="24"/>
          <w:lang w:val="es-ES"/>
        </w:rPr>
        <w:t>: nombre de la cuenta de almacenamiento (</w:t>
      </w:r>
      <w:r w:rsidRPr="00C6581E">
        <w:rPr>
          <w:b/>
          <w:bCs/>
          <w:sz w:val="24"/>
          <w:szCs w:val="24"/>
          <w:lang w:val="es-ES"/>
        </w:rPr>
        <w:t>dlsprdtransmisionfdi</w:t>
      </w:r>
      <w:r w:rsidRPr="00C6581E">
        <w:rPr>
          <w:sz w:val="24"/>
          <w:szCs w:val="24"/>
          <w:lang w:val="es-ES"/>
        </w:rPr>
        <w:t xml:space="preserve">). </w:t>
      </w:r>
    </w:p>
    <w:p w14:paraId="61EB738D"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&lt;contenedor&gt;</w:t>
      </w:r>
      <w:r w:rsidRPr="00C6581E">
        <w:rPr>
          <w:sz w:val="24"/>
          <w:szCs w:val="24"/>
          <w:lang w:val="es-ES"/>
        </w:rPr>
        <w:t>: contenedor asignado por Fogafín (</w:t>
      </w:r>
      <w:r w:rsidRPr="00C6581E">
        <w:rPr>
          <w:b/>
          <w:bCs/>
          <w:sz w:val="24"/>
          <w:szCs w:val="24"/>
          <w:lang w:val="es-ES"/>
        </w:rPr>
        <w:t>consulta</w:t>
      </w:r>
      <w:r w:rsidRPr="00C6581E">
        <w:rPr>
          <w:sz w:val="24"/>
          <w:szCs w:val="24"/>
          <w:lang w:val="es-ES"/>
        </w:rPr>
        <w:t xml:space="preserve">). </w:t>
      </w:r>
      <w:r w:rsidRPr="00C6581E">
        <w:rPr>
          <w:color w:val="000000" w:themeColor="text1"/>
          <w:sz w:val="24"/>
          <w:szCs w:val="24"/>
          <w:lang w:val="es-ES"/>
        </w:rPr>
        <w:t xml:space="preserve"> </w:t>
      </w:r>
      <w:r w:rsidRPr="00C6581E">
        <w:rPr>
          <w:sz w:val="24"/>
          <w:szCs w:val="24"/>
          <w:lang w:val="es-ES"/>
        </w:rPr>
        <w:t xml:space="preserve"> </w:t>
      </w:r>
    </w:p>
    <w:p w14:paraId="20BCDFBC" w14:textId="77777777" w:rsidR="00C6581E" w:rsidRPr="00C6581E" w:rsidRDefault="00C6581E" w:rsidP="00C6581E">
      <w:pPr>
        <w:pStyle w:val="Prrafodelista"/>
        <w:rPr>
          <w:sz w:val="24"/>
          <w:szCs w:val="24"/>
          <w:lang w:val="es-ES"/>
        </w:rPr>
      </w:pPr>
    </w:p>
    <w:p w14:paraId="08DFFE46"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&lt;tipent&lt;n&gt;/codent&lt;n&gt;/Salida/</w:t>
      </w:r>
      <w:r w:rsidRPr="00C6581E">
        <w:rPr>
          <w:sz w:val="24"/>
          <w:szCs w:val="24"/>
          <w:lang w:val="es-ES"/>
        </w:rPr>
        <w:t xml:space="preserve">: ruta correspondiente a la entidad dentro del storage. </w:t>
      </w:r>
    </w:p>
    <w:p w14:paraId="142A8824" w14:textId="77777777" w:rsidR="00C6581E" w:rsidRPr="00C6581E" w:rsidRDefault="00C6581E" w:rsidP="00C6581E">
      <w:pPr>
        <w:pStyle w:val="Prrafodelista"/>
        <w:numPr>
          <w:ilvl w:val="0"/>
          <w:numId w:val="1"/>
        </w:numPr>
        <w:rPr>
          <w:sz w:val="24"/>
          <w:szCs w:val="24"/>
          <w:lang w:val="es-ES"/>
        </w:rPr>
      </w:pPr>
      <w:r w:rsidRPr="00C6581E">
        <w:rPr>
          <w:rFonts w:eastAsia="Consolas"/>
          <w:b/>
          <w:bCs/>
          <w:sz w:val="24"/>
          <w:szCs w:val="24"/>
          <w:lang w:val="es-ES"/>
        </w:rPr>
        <w:t>&lt;archivo&gt;</w:t>
      </w:r>
      <w:r w:rsidRPr="00C6581E">
        <w:rPr>
          <w:sz w:val="24"/>
          <w:szCs w:val="24"/>
          <w:lang w:val="es-ES"/>
        </w:rPr>
        <w:t>: ID_transmision asignado por Fogafín (obtenido en el portal web).</w:t>
      </w:r>
    </w:p>
    <w:p w14:paraId="3EB59635" w14:textId="77777777" w:rsidR="00C6581E" w:rsidRPr="00C6581E" w:rsidRDefault="00C6581E" w:rsidP="00C6581E">
      <w:pPr>
        <w:spacing w:line="300" w:lineRule="auto"/>
        <w:jc w:val="both"/>
        <w:rPr>
          <w:rFonts w:ascii="Arial" w:hAnsi="Arial" w:cs="Arial"/>
          <w:sz w:val="24"/>
          <w:szCs w:val="24"/>
          <w:lang w:val="es-CO"/>
        </w:rPr>
      </w:pPr>
    </w:p>
    <w:p w14:paraId="575053E2" w14:textId="7F57A15A" w:rsidR="00C6581E" w:rsidRPr="00C6581E" w:rsidRDefault="00C6581E" w:rsidP="00C6581E">
      <w:pPr>
        <w:pStyle w:val="Prrafodelista"/>
        <w:numPr>
          <w:ilvl w:val="0"/>
          <w:numId w:val="7"/>
        </w:numPr>
        <w:spacing w:before="180"/>
        <w:jc w:val="both"/>
        <w:rPr>
          <w:sz w:val="24"/>
          <w:szCs w:val="24"/>
        </w:rPr>
      </w:pPr>
      <w:r w:rsidRPr="00C6581E">
        <w:rPr>
          <w:b/>
          <w:bCs/>
          <w:sz w:val="24"/>
          <w:szCs w:val="24"/>
        </w:rPr>
        <w:t>Seguridad</w:t>
      </w:r>
    </w:p>
    <w:p w14:paraId="2FAFB4FE" w14:textId="77777777" w:rsidR="00C6581E" w:rsidRDefault="00C6581E" w:rsidP="00C6581E">
      <w:pPr>
        <w:spacing w:line="300" w:lineRule="auto"/>
        <w:jc w:val="both"/>
        <w:rPr>
          <w:rFonts w:ascii="Arial" w:hAnsi="Arial" w:cs="Arial"/>
          <w:sz w:val="24"/>
          <w:szCs w:val="24"/>
          <w:lang w:val="es-ES"/>
        </w:rPr>
      </w:pPr>
    </w:p>
    <w:p w14:paraId="1CF4D9CF" w14:textId="39B91C26" w:rsidR="00412FBB" w:rsidRPr="00C6581E" w:rsidRDefault="00C6581E" w:rsidP="00C6581E">
      <w:pPr>
        <w:spacing w:line="300" w:lineRule="auto"/>
        <w:jc w:val="both"/>
        <w:rPr>
          <w:rFonts w:ascii="Arial" w:hAnsi="Arial" w:cs="Arial"/>
          <w:sz w:val="24"/>
          <w:szCs w:val="24"/>
          <w:lang w:val="es-CO"/>
        </w:rPr>
      </w:pPr>
      <w:r w:rsidRPr="54A748CD">
        <w:rPr>
          <w:rFonts w:ascii="Arial" w:hAnsi="Arial" w:cs="Arial"/>
          <w:sz w:val="24"/>
          <w:szCs w:val="24"/>
          <w:lang w:val="es-ES"/>
        </w:rPr>
        <w:t>La transmisión por AzCopy deberá utilizar y configurar los protocolos seguros TLS igual o superior a 1.2 que ofrece la herramienta.</w:t>
      </w:r>
    </w:p>
    <w:p w14:paraId="6B7500AF" w14:textId="5AFA3E31" w:rsidR="54A748CD" w:rsidRDefault="54A748CD" w:rsidP="54A748CD">
      <w:pPr>
        <w:spacing w:line="300" w:lineRule="auto"/>
        <w:jc w:val="both"/>
        <w:rPr>
          <w:rFonts w:ascii="Arial" w:hAnsi="Arial" w:cs="Arial"/>
          <w:sz w:val="24"/>
          <w:szCs w:val="24"/>
          <w:lang w:val="es-ES"/>
        </w:rPr>
      </w:pPr>
    </w:p>
    <w:p w14:paraId="750D2F08" w14:textId="49057975" w:rsidR="44757301" w:rsidRDefault="44757301" w:rsidP="54A748CD">
      <w:pPr>
        <w:spacing w:line="300" w:lineRule="auto"/>
        <w:jc w:val="both"/>
        <w:rPr>
          <w:rFonts w:ascii="Arial" w:hAnsi="Arial" w:cs="Arial"/>
          <w:sz w:val="24"/>
          <w:szCs w:val="24"/>
          <w:lang w:val="es-CO"/>
        </w:rPr>
      </w:pPr>
      <w:r w:rsidRPr="54A748CD">
        <w:rPr>
          <w:rFonts w:ascii="Arial" w:hAnsi="Arial" w:cs="Arial"/>
          <w:sz w:val="24"/>
          <w:szCs w:val="24"/>
          <w:lang w:val="es-CO"/>
        </w:rPr>
        <w:t>Nota</w:t>
      </w:r>
      <w:r w:rsidR="697192E9" w:rsidRPr="54A748CD">
        <w:rPr>
          <w:rFonts w:ascii="Arial" w:hAnsi="Arial" w:cs="Arial"/>
          <w:sz w:val="24"/>
          <w:szCs w:val="24"/>
          <w:lang w:val="es-CO"/>
        </w:rPr>
        <w:t>1</w:t>
      </w:r>
    </w:p>
    <w:p w14:paraId="214F68B8" w14:textId="08E1466D" w:rsidR="4206FAEC" w:rsidRDefault="4206FAEC" w:rsidP="54A748CD">
      <w:pPr>
        <w:spacing w:line="300" w:lineRule="auto"/>
        <w:jc w:val="both"/>
        <w:rPr>
          <w:rFonts w:ascii="Arial" w:hAnsi="Arial" w:cs="Arial"/>
          <w:sz w:val="24"/>
          <w:szCs w:val="24"/>
          <w:lang w:val="es-CO"/>
        </w:rPr>
      </w:pPr>
      <w:r w:rsidRPr="54A748CD">
        <w:rPr>
          <w:rFonts w:ascii="Arial" w:hAnsi="Arial" w:cs="Arial"/>
          <w:sz w:val="24"/>
          <w:szCs w:val="24"/>
          <w:lang w:val="es-CO"/>
        </w:rPr>
        <w:lastRenderedPageBreak/>
        <w:t>Nota 2</w:t>
      </w:r>
    </w:p>
    <w:p w14:paraId="4546921F" w14:textId="37B9D8A9" w:rsidR="2CE038BA" w:rsidRDefault="2CE038BA" w:rsidP="54A748CD">
      <w:pPr>
        <w:spacing w:line="300" w:lineRule="auto"/>
        <w:jc w:val="both"/>
        <w:rPr>
          <w:rFonts w:ascii="Arial" w:hAnsi="Arial" w:cs="Arial"/>
          <w:sz w:val="24"/>
          <w:szCs w:val="24"/>
          <w:lang w:val="es-CO"/>
        </w:rPr>
      </w:pPr>
      <w:r w:rsidRPr="54A748CD">
        <w:rPr>
          <w:rFonts w:ascii="Arial" w:hAnsi="Arial" w:cs="Arial"/>
          <w:sz w:val="24"/>
          <w:szCs w:val="24"/>
          <w:lang w:val="es-CO"/>
        </w:rPr>
        <w:t>Nota 3</w:t>
      </w:r>
    </w:p>
    <w:p w14:paraId="6DEE85AA" w14:textId="60786535" w:rsidR="4E5FB6DA" w:rsidRDefault="4E5FB6DA" w:rsidP="54A748CD">
      <w:pPr>
        <w:spacing w:line="300" w:lineRule="auto"/>
        <w:jc w:val="both"/>
        <w:rPr>
          <w:rFonts w:ascii="Arial" w:hAnsi="Arial" w:cs="Arial"/>
          <w:sz w:val="24"/>
          <w:szCs w:val="24"/>
          <w:lang w:val="es-CO"/>
        </w:rPr>
      </w:pPr>
      <w:r w:rsidRPr="54A748CD">
        <w:rPr>
          <w:rFonts w:ascii="Arial" w:hAnsi="Arial" w:cs="Arial"/>
          <w:sz w:val="24"/>
          <w:szCs w:val="24"/>
          <w:lang w:val="es-CO"/>
        </w:rPr>
        <w:t>Nota 4</w:t>
      </w:r>
    </w:p>
    <w:sectPr w:rsidR="4E5FB6DA" w:rsidSect="000A62D8">
      <w:headerReference w:type="default" r:id="rId15"/>
      <w:footerReference w:type="default" r:id="rId16"/>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is Daniel Linares Sanchez" w:date="2026-05-05T09:53:00Z" w:initials="LS">
    <w:p w14:paraId="5FC1C86D" w14:textId="77777777" w:rsidR="00C6581E" w:rsidRDefault="00C6581E">
      <w:r>
        <w:rPr>
          <w:rStyle w:val="EncabezadoCar"/>
        </w:rPr>
        <w:annotationRef/>
      </w:r>
      <w:r w:rsidRPr="62E48E8F">
        <w:t>¿De qué manera obtiene la entidad este dato?</w:t>
      </w:r>
    </w:p>
  </w:comment>
  <w:comment w:id="1" w:author="Estefania Perez" w:date="2026-05-05T16:58:00Z" w:initials="EP">
    <w:p w14:paraId="2832E2D4" w14:textId="77777777" w:rsidR="00C6581E" w:rsidRDefault="00C6581E">
      <w:pPr>
        <w:pStyle w:val="Textocomentario"/>
      </w:pPr>
      <w:r>
        <w:rPr>
          <w:rStyle w:val="Refdecomentario"/>
        </w:rPr>
        <w:annotationRef/>
      </w:r>
      <w:r w:rsidRPr="01E77E72">
        <w:t>Sobre el portal, adicionado en el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C1C86D" w15:done="1"/>
  <w15:commentEx w15:paraId="2832E2D4" w15:paraIdParent="5FC1C8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BF9B5" w16cex:dateUtc="2026-05-05T14:53:00Z"/>
  <w16cex:commentExtensible w16cex:durableId="75BDD482" w16cex:dateUtc="2026-05-05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C1C86D" w16cid:durableId="1E8BF9B5"/>
  <w16cid:commentId w16cid:paraId="2832E2D4" w16cid:durableId="75BDD4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EF5C" w14:textId="77777777" w:rsidR="004B47AD" w:rsidRDefault="004B47AD" w:rsidP="006563A9">
      <w:r>
        <w:separator/>
      </w:r>
    </w:p>
  </w:endnote>
  <w:endnote w:type="continuationSeparator" w:id="0">
    <w:p w14:paraId="1720E180" w14:textId="77777777" w:rsidR="004B47AD" w:rsidRDefault="004B47AD" w:rsidP="0065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6849549"/>
  <w:bookmarkStart w:id="3" w:name="_Hlk136849550"/>
  <w:p w14:paraId="61CCA525" w14:textId="73AB3559" w:rsidR="00CC040C" w:rsidRDefault="008C73ED" w:rsidP="006563A9">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1312" behindDoc="0" locked="0" layoutInCell="1" allowOverlap="1" wp14:anchorId="59F23DF8" wp14:editId="1B332CFE">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938276"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2"/>
  <w:bookmarkEnd w:id="3"/>
  <w:p w14:paraId="13624012" w14:textId="5B45A07B" w:rsidR="00527BD6" w:rsidRPr="007132E6" w:rsidRDefault="00527BD6" w:rsidP="00527BD6">
    <w:pPr>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Dirección: Carrera 7 # 35 – 40, Bogotá D.C. Colombia</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EE16B8">
      <w:rPr>
        <w:rFonts w:ascii="Verdana" w:hAnsi="Verdana" w:cs="Arial"/>
        <w:color w:val="808080"/>
        <w:sz w:val="14"/>
        <w:szCs w:val="14"/>
        <w:lang w:val="es-ES" w:eastAsia="es-CO"/>
      </w:rPr>
      <w:t xml:space="preserve">Página </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PAGE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1</w:t>
    </w:r>
    <w:r w:rsidRPr="00EE16B8">
      <w:rPr>
        <w:rFonts w:ascii="Verdana" w:hAnsi="Verdana" w:cs="Arial"/>
        <w:color w:val="808080"/>
        <w:sz w:val="14"/>
        <w:szCs w:val="14"/>
        <w:lang w:val="es-ES" w:eastAsia="es-CO"/>
      </w:rPr>
      <w:fldChar w:fldCharType="end"/>
    </w:r>
    <w:r w:rsidRPr="00EE16B8">
      <w:rPr>
        <w:rFonts w:ascii="Verdana" w:hAnsi="Verdana" w:cs="Arial"/>
        <w:color w:val="808080"/>
        <w:sz w:val="14"/>
        <w:szCs w:val="14"/>
        <w:lang w:val="es-ES" w:eastAsia="es-CO"/>
      </w:rPr>
      <w:t>/</w:t>
    </w:r>
    <w:r w:rsidRPr="00EE16B8">
      <w:rPr>
        <w:rFonts w:ascii="Verdana" w:hAnsi="Verdana" w:cs="Arial"/>
        <w:color w:val="808080"/>
        <w:sz w:val="14"/>
        <w:szCs w:val="14"/>
        <w:lang w:val="es-ES" w:eastAsia="es-CO"/>
      </w:rPr>
      <w:fldChar w:fldCharType="begin"/>
    </w:r>
    <w:r w:rsidRPr="00EE16B8">
      <w:rPr>
        <w:rFonts w:ascii="Verdana" w:hAnsi="Verdana" w:cs="Arial"/>
        <w:color w:val="808080"/>
        <w:sz w:val="14"/>
        <w:szCs w:val="14"/>
        <w:lang w:val="es-ES" w:eastAsia="es-CO"/>
      </w:rPr>
      <w:instrText xml:space="preserve"> NUMPAGES </w:instrText>
    </w:r>
    <w:r w:rsidRPr="00EE16B8">
      <w:rPr>
        <w:rFonts w:ascii="Verdana" w:hAnsi="Verdana" w:cs="Arial"/>
        <w:color w:val="808080"/>
        <w:sz w:val="14"/>
        <w:szCs w:val="14"/>
        <w:lang w:val="es-ES" w:eastAsia="es-CO"/>
      </w:rPr>
      <w:fldChar w:fldCharType="separate"/>
    </w:r>
    <w:r>
      <w:rPr>
        <w:rFonts w:ascii="Verdana" w:hAnsi="Verdana" w:cs="Arial"/>
        <w:color w:val="808080"/>
        <w:sz w:val="14"/>
        <w:szCs w:val="14"/>
        <w:lang w:val="es-ES" w:eastAsia="es-CO"/>
      </w:rPr>
      <w:t>3</w:t>
    </w:r>
    <w:r w:rsidRPr="00EE16B8">
      <w:rPr>
        <w:rFonts w:ascii="Verdana" w:hAnsi="Verdana" w:cs="Arial"/>
        <w:color w:val="808080"/>
        <w:sz w:val="14"/>
        <w:szCs w:val="14"/>
        <w:lang w:val="es-ES" w:eastAsia="es-CO"/>
      </w:rPr>
      <w:fldChar w:fldCharType="end"/>
    </w:r>
  </w:p>
  <w:p w14:paraId="3B409E86" w14:textId="677E30BA" w:rsidR="00527BD6" w:rsidRPr="007132E6" w:rsidRDefault="00527BD6" w:rsidP="00527BD6">
    <w:pPr>
      <w:rPr>
        <w:rFonts w:ascii="Verdana" w:hAnsi="Verdana" w:cs="Arial"/>
        <w:color w:val="808080"/>
        <w:sz w:val="14"/>
        <w:szCs w:val="14"/>
        <w:lang w:val="es-ES" w:eastAsia="es-CO"/>
      </w:rPr>
    </w:pPr>
    <w:r w:rsidRPr="007132E6">
      <w:rPr>
        <w:rFonts w:ascii="Verdana" w:hAnsi="Verdana" w:cs="Arial"/>
        <w:color w:val="808080"/>
        <w:sz w:val="14"/>
        <w:szCs w:val="14"/>
        <w:lang w:val="es-ES" w:eastAsia="es-CO"/>
      </w:rPr>
      <w:t xml:space="preserve">Conmutador: +57 </w:t>
    </w:r>
    <w:r w:rsidR="006F585F" w:rsidRPr="006F585F">
      <w:rPr>
        <w:rFonts w:ascii="Verdana" w:hAnsi="Verdana" w:cs="Arial"/>
        <w:color w:val="808080"/>
        <w:sz w:val="14"/>
        <w:szCs w:val="14"/>
        <w:lang w:val="es-ES" w:eastAsia="es-CO"/>
      </w:rPr>
      <w:t>(601) 4321370</w:t>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sidRPr="007132E6">
      <w:rPr>
        <w:rFonts w:ascii="Verdana" w:hAnsi="Verdana" w:cs="Arial"/>
        <w:color w:val="808080"/>
        <w:sz w:val="14"/>
        <w:szCs w:val="14"/>
        <w:lang w:val="es-ES" w:eastAsia="es-CO"/>
      </w:rPr>
      <w:tab/>
    </w:r>
    <w:r>
      <w:rPr>
        <w:rFonts w:ascii="Verdana" w:hAnsi="Verdana" w:cs="Arial"/>
        <w:color w:val="808080"/>
        <w:sz w:val="14"/>
        <w:szCs w:val="14"/>
        <w:lang w:val="es-ES" w:eastAsia="es-CO"/>
      </w:rPr>
      <w:t xml:space="preserve">            </w:t>
    </w:r>
    <w:r w:rsidRPr="007132E6">
      <w:rPr>
        <w:rFonts w:ascii="Verdana" w:hAnsi="Verdana" w:cs="Arial"/>
        <w:color w:val="808080"/>
        <w:sz w:val="14"/>
        <w:szCs w:val="14"/>
        <w:lang w:val="es-ES" w:eastAsia="es-CO"/>
      </w:rPr>
      <w:t>Versión</w:t>
    </w:r>
    <w:r>
      <w:rPr>
        <w:rFonts w:ascii="Verdana" w:hAnsi="Verdana" w:cs="Arial"/>
        <w:color w:val="808080"/>
        <w:sz w:val="14"/>
        <w:szCs w:val="14"/>
        <w:lang w:val="es-ES" w:eastAsia="es-CO"/>
      </w:rPr>
      <w:t xml:space="preserve">: </w:t>
    </w:r>
    <w:r w:rsidR="00FF51EA">
      <w:rPr>
        <w:rFonts w:ascii="Verdana" w:hAnsi="Verdana" w:cs="Arial"/>
        <w:color w:val="808080"/>
        <w:sz w:val="14"/>
        <w:szCs w:val="14"/>
        <w:lang w:val="es-ES" w:eastAsia="es-CO"/>
      </w:rPr>
      <w:t>2</w:t>
    </w:r>
  </w:p>
  <w:p w14:paraId="390E460F" w14:textId="21476FE1" w:rsidR="00527BD6" w:rsidRDefault="006F585F" w:rsidP="00527BD6">
    <w:pPr>
      <w:rPr>
        <w:rFonts w:ascii="Verdana" w:hAnsi="Verdana" w:cs="Arial"/>
        <w:color w:val="808080"/>
        <w:sz w:val="14"/>
        <w:szCs w:val="14"/>
        <w:lang w:val="es-ES" w:eastAsia="es-CO"/>
      </w:rPr>
    </w:pPr>
    <w:r>
      <w:rPr>
        <w:rFonts w:ascii="Verdana" w:hAnsi="Verdana" w:cs="Arial"/>
        <w:color w:val="808080"/>
        <w:sz w:val="14"/>
        <w:szCs w:val="14"/>
        <w:lang w:val="es-ES" w:eastAsia="es-CO"/>
      </w:rPr>
      <w:tab/>
    </w:r>
    <w:r>
      <w:rPr>
        <w:rFonts w:ascii="Verdana" w:hAnsi="Verdana" w:cs="Arial"/>
        <w:color w:val="808080"/>
        <w:sz w:val="14"/>
        <w:szCs w:val="14"/>
        <w:lang w:val="es-ES" w:eastAsia="es-CO"/>
      </w:rPr>
      <w:tab/>
    </w:r>
    <w:r>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sidRPr="007132E6">
      <w:rPr>
        <w:rFonts w:ascii="Verdana" w:hAnsi="Verdana" w:cs="Arial"/>
        <w:color w:val="808080"/>
        <w:sz w:val="14"/>
        <w:szCs w:val="14"/>
        <w:lang w:val="es-ES" w:eastAsia="es-CO"/>
      </w:rPr>
      <w:tab/>
    </w:r>
    <w:r w:rsidR="00527BD6">
      <w:rPr>
        <w:rFonts w:ascii="Verdana" w:hAnsi="Verdana" w:cs="Arial"/>
        <w:color w:val="808080"/>
        <w:sz w:val="14"/>
        <w:szCs w:val="14"/>
        <w:lang w:val="es-ES" w:eastAsia="es-CO"/>
      </w:rPr>
      <w:t xml:space="preserve">            </w:t>
    </w:r>
    <w:r w:rsidR="00527BD6" w:rsidRPr="007132E6">
      <w:rPr>
        <w:rFonts w:ascii="Verdana" w:hAnsi="Verdana" w:cs="Arial"/>
        <w:color w:val="808080"/>
        <w:sz w:val="14"/>
        <w:szCs w:val="14"/>
        <w:lang w:val="es-ES" w:eastAsia="es-CO"/>
      </w:rPr>
      <w:t>Fecha</w:t>
    </w:r>
    <w:r w:rsidR="00527BD6">
      <w:rPr>
        <w:rFonts w:ascii="Verdana" w:hAnsi="Verdana" w:cs="Arial"/>
        <w:color w:val="808080"/>
        <w:sz w:val="14"/>
        <w:szCs w:val="14"/>
        <w:lang w:val="es-ES" w:eastAsia="es-CO"/>
      </w:rPr>
      <w:t xml:space="preserve"> de aprobación</w:t>
    </w:r>
    <w:r w:rsidR="00527BD6" w:rsidRPr="007132E6">
      <w:rPr>
        <w:rFonts w:ascii="Verdana" w:hAnsi="Verdana" w:cs="Arial"/>
        <w:color w:val="808080"/>
        <w:sz w:val="14"/>
        <w:szCs w:val="14"/>
        <w:lang w:val="es-ES" w:eastAsia="es-CO"/>
      </w:rPr>
      <w:t>:</w:t>
    </w:r>
    <w:r w:rsidR="00AF26C7">
      <w:rPr>
        <w:rFonts w:ascii="Verdana" w:hAnsi="Verdana" w:cs="Arial"/>
        <w:color w:val="808080"/>
        <w:sz w:val="14"/>
        <w:szCs w:val="14"/>
        <w:lang w:val="es-ES" w:eastAsia="es-CO"/>
      </w:rPr>
      <w:t xml:space="preserve"> </w:t>
    </w:r>
    <w:r w:rsidR="0095705F">
      <w:rPr>
        <w:rFonts w:ascii="Verdana" w:hAnsi="Verdana" w:cs="Arial"/>
        <w:color w:val="808080"/>
        <w:sz w:val="14"/>
        <w:szCs w:val="14"/>
        <w:lang w:val="es-ES" w:eastAsia="es-CO"/>
      </w:rPr>
      <w:t>2</w:t>
    </w:r>
    <w:r w:rsidR="0014092F">
      <w:rPr>
        <w:rFonts w:ascii="Verdana" w:hAnsi="Verdana" w:cs="Arial"/>
        <w:color w:val="808080"/>
        <w:sz w:val="14"/>
        <w:szCs w:val="14"/>
        <w:lang w:val="es-ES" w:eastAsia="es-CO"/>
      </w:rPr>
      <w:t>4/01/2025</w:t>
    </w:r>
  </w:p>
  <w:p w14:paraId="73A27CF2" w14:textId="4536B332" w:rsidR="00527BD6" w:rsidRPr="00EE16B8" w:rsidRDefault="00527BD6" w:rsidP="00527BD6">
    <w:pPr>
      <w:rPr>
        <w:rFonts w:ascii="Verdana" w:hAnsi="Verdana" w:cs="Arial"/>
        <w:color w:val="808080"/>
        <w:sz w:val="14"/>
        <w:szCs w:val="14"/>
        <w:lang w:val="es-ES" w:eastAsia="es-CO"/>
      </w:rPr>
    </w:pPr>
    <w:r>
      <w:rPr>
        <w:rFonts w:ascii="Verdana" w:hAnsi="Verdana" w:cs="Arial"/>
        <w:color w:val="808080"/>
        <w:sz w:val="14"/>
        <w:szCs w:val="14"/>
        <w:lang w:val="es-ES" w:eastAsia="es-CO"/>
      </w:rPr>
      <w:t xml:space="preserve">                                                                                                                                             Fecha de vigencia: </w:t>
    </w:r>
    <w:r w:rsidR="0014092F">
      <w:rPr>
        <w:rFonts w:ascii="Verdana" w:hAnsi="Verdana" w:cs="Arial"/>
        <w:color w:val="808080"/>
        <w:sz w:val="14"/>
        <w:szCs w:val="14"/>
        <w:lang w:val="es-ES" w:eastAsia="es-CO"/>
      </w:rPr>
      <w:t>24/01/2025</w:t>
    </w:r>
  </w:p>
  <w:p w14:paraId="3BA04567" w14:textId="77777777" w:rsidR="00527BD6" w:rsidRPr="00E51BD9" w:rsidRDefault="00527BD6" w:rsidP="00527BD6">
    <w:pPr>
      <w:tabs>
        <w:tab w:val="right" w:pos="8910"/>
      </w:tabs>
      <w:rPr>
        <w:rFonts w:ascii="Arial" w:hAnsi="Arial"/>
        <w:color w:val="808080"/>
        <w:sz w:val="14"/>
        <w:szCs w:val="14"/>
        <w:lang w:eastAsia="es-CO"/>
      </w:rPr>
    </w:pPr>
    <w:r>
      <w:rPr>
        <w:rFonts w:ascii="Arial" w:hAnsi="Arial"/>
        <w:color w:val="808080"/>
        <w:sz w:val="14"/>
        <w:szCs w:val="14"/>
        <w:lang w:eastAsia="es-CO"/>
      </w:rPr>
      <w:t xml:space="preserve"> </w:t>
    </w:r>
  </w:p>
  <w:p w14:paraId="29B01C8C" w14:textId="466E5FE9" w:rsidR="00EE16B8" w:rsidRPr="00EE16B8" w:rsidRDefault="00EE16B8" w:rsidP="00527BD6">
    <w:pPr>
      <w:rPr>
        <w:rFonts w:ascii="Verdana" w:hAnsi="Verdana" w:cs="Arial"/>
        <w:color w:val="808080"/>
        <w:sz w:val="14"/>
        <w:szCs w:val="14"/>
        <w:lang w:val="es-ES"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40FB" w14:textId="77777777" w:rsidR="004B47AD" w:rsidRDefault="004B47AD" w:rsidP="006563A9">
      <w:r>
        <w:separator/>
      </w:r>
    </w:p>
  </w:footnote>
  <w:footnote w:type="continuationSeparator" w:id="0">
    <w:p w14:paraId="2467FE08" w14:textId="77777777" w:rsidR="004B47AD" w:rsidRDefault="004B47AD" w:rsidP="0065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A387" w14:textId="7202504A" w:rsidR="006563A9" w:rsidRPr="006F585F" w:rsidRDefault="0076692C" w:rsidP="006F585F">
    <w:pPr>
      <w:pStyle w:val="Encabezado"/>
      <w:jc w:val="center"/>
      <w:rPr>
        <w:lang w:val="es-ES"/>
      </w:rPr>
    </w:pPr>
    <w:r>
      <w:rPr>
        <w:noProof/>
        <w:lang w:val="es-ES"/>
      </w:rPr>
      <w:drawing>
        <wp:inline distT="0" distB="0" distL="0" distR="0" wp14:anchorId="2F289ABE" wp14:editId="5FEDBC5D">
          <wp:extent cx="3897000" cy="900000"/>
          <wp:effectExtent l="0" t="0" r="1905" b="1905"/>
          <wp:docPr id="12632094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9407" name="Imagen 1263209407"/>
                  <pic:cNvPicPr/>
                </pic:nvPicPr>
                <pic:blipFill>
                  <a:blip r:embed="rId1">
                    <a:extLst>
                      <a:ext uri="{28A0092B-C50C-407E-A947-70E740481C1C}">
                        <a14:useLocalDpi xmlns:a14="http://schemas.microsoft.com/office/drawing/2010/main" val="0"/>
                      </a:ext>
                    </a:extLst>
                  </a:blip>
                  <a:stretch>
                    <a:fillRect/>
                  </a:stretch>
                </pic:blipFill>
                <pic:spPr>
                  <a:xfrm>
                    <a:off x="0" y="0"/>
                    <a:ext cx="38970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D2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03A1C"/>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D102AA4"/>
    <w:multiLevelType w:val="multilevel"/>
    <w:tmpl w:val="851E408A"/>
    <w:lvl w:ilvl="0">
      <w:start w:val="1"/>
      <w:numFmt w:val="decimal"/>
      <w:lvlText w:val="%1."/>
      <w:lvlJc w:val="left"/>
      <w:pPr>
        <w:ind w:left="720" w:hanging="360"/>
      </w:pPr>
      <w:rPr>
        <w:lang w:val="es-ES"/>
      </w:rPr>
    </w:lvl>
    <w:lvl w:ilvl="1">
      <w:start w:val="1"/>
      <w:numFmt w:val="lowerLetter"/>
      <w:lvlText w:val="%2)"/>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5F52A96"/>
    <w:multiLevelType w:val="hybridMultilevel"/>
    <w:tmpl w:val="536CCB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D4C60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F232CB"/>
    <w:multiLevelType w:val="hybridMultilevel"/>
    <w:tmpl w:val="D054E60C"/>
    <w:lvl w:ilvl="0" w:tplc="85E2A28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1BA9DD"/>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75460895">
    <w:abstractNumId w:val="0"/>
  </w:num>
  <w:num w:numId="2" w16cid:durableId="29187339">
    <w:abstractNumId w:val="6"/>
  </w:num>
  <w:num w:numId="3" w16cid:durableId="1901667460">
    <w:abstractNumId w:val="2"/>
  </w:num>
  <w:num w:numId="4" w16cid:durableId="1947542008">
    <w:abstractNumId w:val="1"/>
  </w:num>
  <w:num w:numId="5" w16cid:durableId="96143917">
    <w:abstractNumId w:val="4"/>
  </w:num>
  <w:num w:numId="6" w16cid:durableId="771164951">
    <w:abstractNumId w:val="3"/>
  </w:num>
  <w:num w:numId="7" w16cid:durableId="10203505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s Daniel Linares Sanchez">
    <w15:presenceInfo w15:providerId="AD" w15:userId="S::lsanchez@fogafin.gov.co::e9da0d62-5857-4f2c-82b5-eafd14e62e0b"/>
  </w15:person>
  <w15:person w15:author="Estefania Perez">
    <w15:presenceInfo w15:providerId="AD" w15:userId="S::estefania.perez_woombatcg.com#ext#@fogafin.onmicrosoft.com::a6b98f6d-2979-4283-b2d3-944bf3876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A9"/>
    <w:rsid w:val="000136BB"/>
    <w:rsid w:val="000172D1"/>
    <w:rsid w:val="000425D9"/>
    <w:rsid w:val="000A62D8"/>
    <w:rsid w:val="000B1F76"/>
    <w:rsid w:val="000C1844"/>
    <w:rsid w:val="000D180B"/>
    <w:rsid w:val="000F4F45"/>
    <w:rsid w:val="000F61B9"/>
    <w:rsid w:val="0014092F"/>
    <w:rsid w:val="00182625"/>
    <w:rsid w:val="00194975"/>
    <w:rsid w:val="001C43CA"/>
    <w:rsid w:val="001D16F5"/>
    <w:rsid w:val="00206D59"/>
    <w:rsid w:val="002123AB"/>
    <w:rsid w:val="002271FD"/>
    <w:rsid w:val="0028318C"/>
    <w:rsid w:val="00291196"/>
    <w:rsid w:val="002931DE"/>
    <w:rsid w:val="002C2048"/>
    <w:rsid w:val="003457D2"/>
    <w:rsid w:val="003569CB"/>
    <w:rsid w:val="00371EF8"/>
    <w:rsid w:val="003D73BE"/>
    <w:rsid w:val="003F6FB0"/>
    <w:rsid w:val="00412FBB"/>
    <w:rsid w:val="00416874"/>
    <w:rsid w:val="00424677"/>
    <w:rsid w:val="00432834"/>
    <w:rsid w:val="00477843"/>
    <w:rsid w:val="004B47AD"/>
    <w:rsid w:val="004C607C"/>
    <w:rsid w:val="004E3AA8"/>
    <w:rsid w:val="00521B1B"/>
    <w:rsid w:val="00523EA9"/>
    <w:rsid w:val="00527BD6"/>
    <w:rsid w:val="00531AA6"/>
    <w:rsid w:val="00532980"/>
    <w:rsid w:val="00557989"/>
    <w:rsid w:val="005F16EF"/>
    <w:rsid w:val="005F50D4"/>
    <w:rsid w:val="00617A7E"/>
    <w:rsid w:val="006352EF"/>
    <w:rsid w:val="00652C43"/>
    <w:rsid w:val="006563A9"/>
    <w:rsid w:val="0066604D"/>
    <w:rsid w:val="00672449"/>
    <w:rsid w:val="006B103A"/>
    <w:rsid w:val="006C3452"/>
    <w:rsid w:val="006D6F4A"/>
    <w:rsid w:val="006F585F"/>
    <w:rsid w:val="00700D2C"/>
    <w:rsid w:val="007132E6"/>
    <w:rsid w:val="00732EE2"/>
    <w:rsid w:val="0076692C"/>
    <w:rsid w:val="00767B95"/>
    <w:rsid w:val="0077269D"/>
    <w:rsid w:val="00790B91"/>
    <w:rsid w:val="00790EBB"/>
    <w:rsid w:val="00796E92"/>
    <w:rsid w:val="007C4E86"/>
    <w:rsid w:val="007E6E72"/>
    <w:rsid w:val="007F37C6"/>
    <w:rsid w:val="007F6EAF"/>
    <w:rsid w:val="00827AF5"/>
    <w:rsid w:val="00834E37"/>
    <w:rsid w:val="008416AA"/>
    <w:rsid w:val="00865121"/>
    <w:rsid w:val="00867000"/>
    <w:rsid w:val="00867232"/>
    <w:rsid w:val="00885A94"/>
    <w:rsid w:val="008C73ED"/>
    <w:rsid w:val="008E5857"/>
    <w:rsid w:val="00906772"/>
    <w:rsid w:val="0095705F"/>
    <w:rsid w:val="0096401F"/>
    <w:rsid w:val="009B2A8B"/>
    <w:rsid w:val="009E5621"/>
    <w:rsid w:val="009F3CC6"/>
    <w:rsid w:val="00A22EA1"/>
    <w:rsid w:val="00A33D15"/>
    <w:rsid w:val="00A62C10"/>
    <w:rsid w:val="00AB645C"/>
    <w:rsid w:val="00AE67DB"/>
    <w:rsid w:val="00AF26C7"/>
    <w:rsid w:val="00B02201"/>
    <w:rsid w:val="00B11F48"/>
    <w:rsid w:val="00B671EF"/>
    <w:rsid w:val="00B73A6C"/>
    <w:rsid w:val="00B81142"/>
    <w:rsid w:val="00BB4312"/>
    <w:rsid w:val="00BF0DC5"/>
    <w:rsid w:val="00C2009D"/>
    <w:rsid w:val="00C25C80"/>
    <w:rsid w:val="00C64FD5"/>
    <w:rsid w:val="00C6516A"/>
    <w:rsid w:val="00C6581E"/>
    <w:rsid w:val="00C662D2"/>
    <w:rsid w:val="00C775E3"/>
    <w:rsid w:val="00CC040C"/>
    <w:rsid w:val="00D270C3"/>
    <w:rsid w:val="00D717CB"/>
    <w:rsid w:val="00D74110"/>
    <w:rsid w:val="00DA322C"/>
    <w:rsid w:val="00DA652B"/>
    <w:rsid w:val="00DF491B"/>
    <w:rsid w:val="00E30FE0"/>
    <w:rsid w:val="00E321B8"/>
    <w:rsid w:val="00E3358F"/>
    <w:rsid w:val="00E34204"/>
    <w:rsid w:val="00EA1484"/>
    <w:rsid w:val="00EE16B8"/>
    <w:rsid w:val="00EE7789"/>
    <w:rsid w:val="00F26702"/>
    <w:rsid w:val="00F301A3"/>
    <w:rsid w:val="00F31913"/>
    <w:rsid w:val="00F817D6"/>
    <w:rsid w:val="00F919E5"/>
    <w:rsid w:val="00FA4831"/>
    <w:rsid w:val="00FF51EA"/>
    <w:rsid w:val="014089A5"/>
    <w:rsid w:val="0969745B"/>
    <w:rsid w:val="210EE27D"/>
    <w:rsid w:val="27113AC0"/>
    <w:rsid w:val="27F3F9BD"/>
    <w:rsid w:val="2A1BC717"/>
    <w:rsid w:val="2A48917B"/>
    <w:rsid w:val="2CE038BA"/>
    <w:rsid w:val="39CF014F"/>
    <w:rsid w:val="4206FAEC"/>
    <w:rsid w:val="44757301"/>
    <w:rsid w:val="4E5FB6DA"/>
    <w:rsid w:val="51357FE7"/>
    <w:rsid w:val="54A748CD"/>
    <w:rsid w:val="54E31A8B"/>
    <w:rsid w:val="5D57A843"/>
    <w:rsid w:val="697192E9"/>
    <w:rsid w:val="69D75438"/>
    <w:rsid w:val="6C79CF06"/>
    <w:rsid w:val="7C65253F"/>
    <w:rsid w:val="7CE04E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1D8A"/>
  <w15:chartTrackingRefBased/>
  <w15:docId w15:val="{F97A6D0C-DE6B-494F-9F60-7C58A82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E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C6581E"/>
    <w:pPr>
      <w:keepNext/>
      <w:keepLines/>
      <w:spacing w:before="360" w:after="80"/>
      <w:outlineLvl w:val="0"/>
    </w:pPr>
    <w:rPr>
      <w:rFonts w:ascii="Arial" w:eastAsia="Arial" w:hAnsi="Arial" w:cs="Arial"/>
      <w:b/>
      <w:bCs/>
      <w:sz w:val="22"/>
      <w:szCs w:val="22"/>
      <w:lang w:val="es" w:eastAsia="ja-JP"/>
    </w:rPr>
  </w:style>
  <w:style w:type="paragraph" w:styleId="Ttulo2">
    <w:name w:val="heading 2"/>
    <w:basedOn w:val="Normal"/>
    <w:next w:val="Normal"/>
    <w:link w:val="Ttulo2Car"/>
    <w:uiPriority w:val="9"/>
    <w:unhideWhenUsed/>
    <w:qFormat/>
    <w:rsid w:val="00C6581E"/>
    <w:pPr>
      <w:keepNext/>
      <w:keepLines/>
      <w:spacing w:before="160" w:after="80"/>
      <w:outlineLvl w:val="1"/>
    </w:pPr>
    <w:rPr>
      <w:rFonts w:ascii="Play" w:eastAsia="Play" w:hAnsi="Play" w:cs="Play"/>
      <w:color w:val="0F4761"/>
      <w:sz w:val="32"/>
      <w:szCs w:val="32"/>
      <w:lang w:val="es" w:eastAsia="ja-JP"/>
    </w:rPr>
  </w:style>
  <w:style w:type="paragraph" w:styleId="Ttulo3">
    <w:name w:val="heading 3"/>
    <w:basedOn w:val="Normal"/>
    <w:next w:val="Normal"/>
    <w:link w:val="Ttulo3Car"/>
    <w:uiPriority w:val="9"/>
    <w:unhideWhenUsed/>
    <w:qFormat/>
    <w:rsid w:val="00C6581E"/>
    <w:pPr>
      <w:keepNext/>
      <w:keepLines/>
      <w:spacing w:before="160" w:after="80"/>
      <w:outlineLvl w:val="2"/>
    </w:pPr>
    <w:rPr>
      <w:rFonts w:ascii="Arial" w:eastAsia="Arial" w:hAnsi="Arial" w:cs="Arial"/>
      <w:color w:val="0F4761"/>
      <w:sz w:val="28"/>
      <w:szCs w:val="28"/>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563A9"/>
  </w:style>
  <w:style w:type="paragraph" w:styleId="Piedepgina">
    <w:name w:val="footer"/>
    <w:basedOn w:val="Normal"/>
    <w:link w:val="PiedepginaCar"/>
    <w:uiPriority w:val="99"/>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563A9"/>
  </w:style>
  <w:style w:type="character" w:styleId="Hipervnculo">
    <w:name w:val="Hyperlink"/>
    <w:basedOn w:val="Fuentedeprrafopredeter"/>
    <w:uiPriority w:val="99"/>
    <w:semiHidden/>
    <w:unhideWhenUsed/>
    <w:rsid w:val="006563A9"/>
    <w:rPr>
      <w:color w:val="0563C1"/>
      <w:u w:val="single"/>
    </w:rPr>
  </w:style>
  <w:style w:type="character" w:customStyle="1" w:styleId="Estilo1">
    <w:name w:val="Estilo1"/>
    <w:basedOn w:val="Fuentedeprrafopredeter"/>
    <w:uiPriority w:val="1"/>
    <w:rsid w:val="008C73ED"/>
  </w:style>
  <w:style w:type="character" w:customStyle="1" w:styleId="Estilo2">
    <w:name w:val="Estilo2"/>
    <w:uiPriority w:val="1"/>
    <w:rsid w:val="008C73ED"/>
    <w:rPr>
      <w:rFonts w:ascii="Arial" w:hAnsi="Arial"/>
      <w:color w:val="auto"/>
      <w:sz w:val="22"/>
    </w:rPr>
  </w:style>
  <w:style w:type="character" w:customStyle="1" w:styleId="Estilo3">
    <w:name w:val="Estilo3"/>
    <w:basedOn w:val="Fuentedeprrafopredeter"/>
    <w:uiPriority w:val="1"/>
    <w:rsid w:val="008C73ED"/>
    <w:rPr>
      <w:rFonts w:ascii="Arial" w:hAnsi="Arial"/>
      <w:sz w:val="22"/>
    </w:rPr>
  </w:style>
  <w:style w:type="character" w:customStyle="1" w:styleId="Estilo4">
    <w:name w:val="Estilo4"/>
    <w:basedOn w:val="Fuentedeprrafopredeter"/>
    <w:uiPriority w:val="1"/>
    <w:rsid w:val="008C73ED"/>
    <w:rPr>
      <w:rFonts w:ascii="Arial" w:hAnsi="Arial"/>
      <w:sz w:val="10"/>
    </w:rPr>
  </w:style>
  <w:style w:type="character" w:customStyle="1" w:styleId="Estilo5">
    <w:name w:val="Estilo5"/>
    <w:basedOn w:val="Fuentedeprrafopredeter"/>
    <w:uiPriority w:val="1"/>
    <w:rsid w:val="008C73ED"/>
    <w:rPr>
      <w:rFonts w:ascii="Arial" w:hAnsi="Arial"/>
      <w:sz w:val="22"/>
    </w:rPr>
  </w:style>
  <w:style w:type="character" w:customStyle="1" w:styleId="Estilo7">
    <w:name w:val="Estilo7"/>
    <w:basedOn w:val="Fuentedeprrafopredeter"/>
    <w:uiPriority w:val="1"/>
    <w:rsid w:val="008C73ED"/>
    <w:rPr>
      <w:rFonts w:ascii="Arial" w:hAnsi="Arial"/>
      <w:sz w:val="22"/>
    </w:rPr>
  </w:style>
  <w:style w:type="character" w:customStyle="1" w:styleId="Estilo8">
    <w:name w:val="Estilo8"/>
    <w:basedOn w:val="Fuentedeprrafopredeter"/>
    <w:uiPriority w:val="1"/>
    <w:rsid w:val="008C73ED"/>
    <w:rPr>
      <w:rFonts w:ascii="Arial" w:hAnsi="Arial"/>
      <w:sz w:val="22"/>
    </w:rPr>
  </w:style>
  <w:style w:type="character" w:customStyle="1" w:styleId="Estilo9">
    <w:name w:val="Estilo9"/>
    <w:basedOn w:val="Fuentedeprrafopredeter"/>
    <w:uiPriority w:val="1"/>
    <w:rsid w:val="008C73ED"/>
    <w:rPr>
      <w:rFonts w:ascii="Arial" w:hAnsi="Arial"/>
      <w:sz w:val="22"/>
    </w:rPr>
  </w:style>
  <w:style w:type="character" w:customStyle="1" w:styleId="Estilo10">
    <w:name w:val="Estilo10"/>
    <w:basedOn w:val="Fuentedeprrafopredeter"/>
    <w:uiPriority w:val="1"/>
    <w:rsid w:val="008C73ED"/>
    <w:rPr>
      <w:rFonts w:ascii="Arial" w:hAnsi="Arial"/>
      <w:sz w:val="22"/>
    </w:rPr>
  </w:style>
  <w:style w:type="character" w:customStyle="1" w:styleId="Estilo11">
    <w:name w:val="Estilo11"/>
    <w:basedOn w:val="Fuentedeprrafopredeter"/>
    <w:uiPriority w:val="1"/>
    <w:rsid w:val="008C73ED"/>
    <w:rPr>
      <w:rFonts w:ascii="Arial" w:hAnsi="Arial"/>
      <w:sz w:val="22"/>
    </w:rPr>
  </w:style>
  <w:style w:type="character" w:customStyle="1" w:styleId="Estilo13">
    <w:name w:val="Estilo13"/>
    <w:basedOn w:val="Fuentedeprrafopredeter"/>
    <w:uiPriority w:val="1"/>
    <w:rsid w:val="008C73ED"/>
    <w:rPr>
      <w:rFonts w:ascii="Arial" w:hAnsi="Arial"/>
      <w:sz w:val="22"/>
    </w:rPr>
  </w:style>
  <w:style w:type="character" w:customStyle="1" w:styleId="Estilo15">
    <w:name w:val="Estilo15"/>
    <w:basedOn w:val="Fuentedeprrafopredeter"/>
    <w:uiPriority w:val="1"/>
    <w:rsid w:val="008C73ED"/>
    <w:rPr>
      <w:rFonts w:ascii="Arial" w:hAnsi="Arial"/>
      <w:sz w:val="22"/>
    </w:rPr>
  </w:style>
  <w:style w:type="character" w:customStyle="1" w:styleId="Estilo16">
    <w:name w:val="Estilo16"/>
    <w:basedOn w:val="Fuentedeprrafopredeter"/>
    <w:uiPriority w:val="1"/>
    <w:rsid w:val="008C73ED"/>
    <w:rPr>
      <w:rFonts w:ascii="Arial" w:hAnsi="Arial"/>
      <w:sz w:val="22"/>
    </w:rPr>
  </w:style>
  <w:style w:type="character" w:customStyle="1" w:styleId="Estilo19">
    <w:name w:val="Estilo19"/>
    <w:basedOn w:val="Fuentedeprrafopredeter"/>
    <w:uiPriority w:val="1"/>
    <w:rsid w:val="008C73ED"/>
    <w:rPr>
      <w:rFonts w:ascii="Arial" w:hAnsi="Arial"/>
      <w:sz w:val="22"/>
    </w:rPr>
  </w:style>
  <w:style w:type="character" w:customStyle="1" w:styleId="Estilo20">
    <w:name w:val="Estilo20"/>
    <w:basedOn w:val="Fuentedeprrafopredeter"/>
    <w:uiPriority w:val="1"/>
    <w:rsid w:val="008C73ED"/>
    <w:rPr>
      <w:rFonts w:ascii="Arial" w:hAnsi="Arial"/>
      <w:sz w:val="22"/>
    </w:rPr>
  </w:style>
  <w:style w:type="character" w:customStyle="1" w:styleId="Estilo21">
    <w:name w:val="Estilo21"/>
    <w:basedOn w:val="Fuentedeprrafopredeter"/>
    <w:uiPriority w:val="1"/>
    <w:rsid w:val="008C73ED"/>
    <w:rPr>
      <w:rFonts w:ascii="Arial" w:hAnsi="Arial"/>
      <w:sz w:val="22"/>
    </w:rPr>
  </w:style>
  <w:style w:type="character" w:customStyle="1" w:styleId="Estilo24">
    <w:name w:val="Estilo24"/>
    <w:basedOn w:val="Fuentedeprrafopredeter"/>
    <w:uiPriority w:val="1"/>
    <w:rsid w:val="008C73ED"/>
    <w:rPr>
      <w:rFonts w:ascii="Arial" w:hAnsi="Arial"/>
      <w:sz w:val="22"/>
    </w:rPr>
  </w:style>
  <w:style w:type="character" w:customStyle="1" w:styleId="Estilo25">
    <w:name w:val="Estilo25"/>
    <w:basedOn w:val="Fuentedeprrafopredeter"/>
    <w:uiPriority w:val="1"/>
    <w:rsid w:val="008C73ED"/>
    <w:rPr>
      <w:rFonts w:ascii="Arial" w:hAnsi="Arial"/>
      <w:sz w:val="22"/>
    </w:rPr>
  </w:style>
  <w:style w:type="character" w:customStyle="1" w:styleId="Estilo26">
    <w:name w:val="Estilo26"/>
    <w:basedOn w:val="Fuentedeprrafopredeter"/>
    <w:uiPriority w:val="1"/>
    <w:rsid w:val="008C73ED"/>
    <w:rPr>
      <w:rFonts w:ascii="Arial" w:hAnsi="Arial"/>
      <w:sz w:val="22"/>
    </w:rPr>
  </w:style>
  <w:style w:type="character" w:customStyle="1" w:styleId="Estilo27">
    <w:name w:val="Estilo27"/>
    <w:basedOn w:val="Fuentedeprrafopredeter"/>
    <w:uiPriority w:val="1"/>
    <w:rsid w:val="008C73ED"/>
    <w:rPr>
      <w:rFonts w:ascii="Arial" w:hAnsi="Arial"/>
      <w:sz w:val="22"/>
    </w:rPr>
  </w:style>
  <w:style w:type="character" w:customStyle="1" w:styleId="Estilo28">
    <w:name w:val="Estilo28"/>
    <w:basedOn w:val="Fuentedeprrafopredeter"/>
    <w:uiPriority w:val="1"/>
    <w:rsid w:val="008C73ED"/>
    <w:rPr>
      <w:rFonts w:ascii="Arial" w:hAnsi="Arial"/>
      <w:sz w:val="22"/>
    </w:rPr>
  </w:style>
  <w:style w:type="character" w:customStyle="1" w:styleId="Estilo30">
    <w:name w:val="Estilo30"/>
    <w:basedOn w:val="Fuentedeprrafopredeter"/>
    <w:uiPriority w:val="1"/>
    <w:rsid w:val="008C73ED"/>
    <w:rPr>
      <w:rFonts w:ascii="Arial" w:hAnsi="Arial"/>
      <w:sz w:val="22"/>
    </w:rPr>
  </w:style>
  <w:style w:type="character" w:customStyle="1" w:styleId="Estilo36">
    <w:name w:val="Estilo36"/>
    <w:basedOn w:val="Fuentedeprrafopredeter"/>
    <w:uiPriority w:val="1"/>
    <w:rsid w:val="008C73ED"/>
    <w:rPr>
      <w:rFonts w:ascii="Arial" w:hAnsi="Arial"/>
      <w:sz w:val="22"/>
    </w:rPr>
  </w:style>
  <w:style w:type="character" w:customStyle="1" w:styleId="Estilo37">
    <w:name w:val="Estilo37"/>
    <w:basedOn w:val="Fuentedeprrafopredeter"/>
    <w:uiPriority w:val="1"/>
    <w:rsid w:val="008C73ED"/>
    <w:rPr>
      <w:rFonts w:ascii="Arial" w:hAnsi="Arial"/>
      <w:sz w:val="22"/>
    </w:rPr>
  </w:style>
  <w:style w:type="character" w:customStyle="1" w:styleId="Estilo38">
    <w:name w:val="Estilo38"/>
    <w:basedOn w:val="Fuentedeprrafopredeter"/>
    <w:uiPriority w:val="1"/>
    <w:rsid w:val="008C73ED"/>
    <w:rPr>
      <w:rFonts w:ascii="Arial" w:hAnsi="Arial"/>
      <w:sz w:val="22"/>
    </w:rPr>
  </w:style>
  <w:style w:type="character" w:customStyle="1" w:styleId="Estilo40">
    <w:name w:val="Estilo40"/>
    <w:basedOn w:val="Fuentedeprrafopredeter"/>
    <w:uiPriority w:val="1"/>
    <w:rsid w:val="008C73ED"/>
    <w:rPr>
      <w:rFonts w:ascii="Arial" w:hAnsi="Arial"/>
      <w:sz w:val="22"/>
    </w:rPr>
  </w:style>
  <w:style w:type="paragraph" w:styleId="Textodeglobo">
    <w:name w:val="Balloon Text"/>
    <w:basedOn w:val="Normal"/>
    <w:link w:val="TextodegloboCar"/>
    <w:uiPriority w:val="99"/>
    <w:semiHidden/>
    <w:unhideWhenUsed/>
    <w:rsid w:val="008C7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3ED"/>
    <w:rPr>
      <w:rFonts w:ascii="Segoe UI" w:eastAsia="Times New Roman" w:hAnsi="Segoe UI" w:cs="Segoe UI"/>
      <w:sz w:val="18"/>
      <w:szCs w:val="18"/>
      <w:lang w:val="es-ES_tradnl" w:eastAsia="es-ES"/>
    </w:rPr>
  </w:style>
  <w:style w:type="paragraph" w:styleId="Textonotapie">
    <w:name w:val="footnote text"/>
    <w:basedOn w:val="Normal"/>
    <w:link w:val="TextonotapieCar"/>
    <w:uiPriority w:val="99"/>
    <w:semiHidden/>
    <w:unhideWhenUsed/>
    <w:rsid w:val="00412FBB"/>
  </w:style>
  <w:style w:type="character" w:customStyle="1" w:styleId="TextonotapieCar">
    <w:name w:val="Texto nota pie Car"/>
    <w:basedOn w:val="Fuentedeprrafopredeter"/>
    <w:link w:val="Textonotapie"/>
    <w:uiPriority w:val="99"/>
    <w:semiHidden/>
    <w:rsid w:val="00412FB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412FBB"/>
    <w:rPr>
      <w:vertAlign w:val="superscript"/>
    </w:rPr>
  </w:style>
  <w:style w:type="character" w:customStyle="1" w:styleId="Ttulo1Car">
    <w:name w:val="Título 1 Car"/>
    <w:basedOn w:val="Fuentedeprrafopredeter"/>
    <w:link w:val="Ttulo1"/>
    <w:uiPriority w:val="9"/>
    <w:rsid w:val="00C6581E"/>
    <w:rPr>
      <w:rFonts w:ascii="Arial" w:eastAsia="Arial" w:hAnsi="Arial" w:cs="Arial"/>
      <w:b/>
      <w:bCs/>
      <w:lang w:val="es" w:eastAsia="ja-JP"/>
    </w:rPr>
  </w:style>
  <w:style w:type="character" w:customStyle="1" w:styleId="Ttulo2Car">
    <w:name w:val="Título 2 Car"/>
    <w:basedOn w:val="Fuentedeprrafopredeter"/>
    <w:link w:val="Ttulo2"/>
    <w:uiPriority w:val="9"/>
    <w:rsid w:val="00C6581E"/>
    <w:rPr>
      <w:rFonts w:ascii="Play" w:eastAsia="Play" w:hAnsi="Play" w:cs="Play"/>
      <w:color w:val="0F4761"/>
      <w:sz w:val="32"/>
      <w:szCs w:val="32"/>
      <w:lang w:val="es" w:eastAsia="ja-JP"/>
    </w:rPr>
  </w:style>
  <w:style w:type="character" w:customStyle="1" w:styleId="Ttulo3Car">
    <w:name w:val="Título 3 Car"/>
    <w:basedOn w:val="Fuentedeprrafopredeter"/>
    <w:link w:val="Ttulo3"/>
    <w:uiPriority w:val="9"/>
    <w:rsid w:val="00C6581E"/>
    <w:rPr>
      <w:rFonts w:ascii="Arial" w:eastAsia="Arial" w:hAnsi="Arial" w:cs="Arial"/>
      <w:color w:val="0F4761"/>
      <w:sz w:val="28"/>
      <w:szCs w:val="28"/>
      <w:lang w:val="es" w:eastAsia="ja-JP"/>
    </w:rPr>
  </w:style>
  <w:style w:type="paragraph" w:styleId="Textocomentario">
    <w:name w:val="annotation text"/>
    <w:basedOn w:val="Normal"/>
    <w:link w:val="TextocomentarioCar"/>
    <w:uiPriority w:val="99"/>
    <w:unhideWhenUsed/>
    <w:rsid w:val="00C6581E"/>
    <w:rPr>
      <w:rFonts w:ascii="Arial" w:eastAsia="Arial" w:hAnsi="Arial" w:cs="Arial"/>
      <w:lang w:val="es" w:eastAsia="ja-JP"/>
    </w:rPr>
  </w:style>
  <w:style w:type="character" w:customStyle="1" w:styleId="TextocomentarioCar">
    <w:name w:val="Texto comentario Car"/>
    <w:basedOn w:val="Fuentedeprrafopredeter"/>
    <w:link w:val="Textocomentario"/>
    <w:uiPriority w:val="99"/>
    <w:rsid w:val="00C6581E"/>
    <w:rPr>
      <w:rFonts w:ascii="Arial" w:eastAsia="Arial" w:hAnsi="Arial" w:cs="Arial"/>
      <w:sz w:val="20"/>
      <w:szCs w:val="20"/>
      <w:lang w:val="es" w:eastAsia="ja-JP"/>
    </w:rPr>
  </w:style>
  <w:style w:type="character" w:styleId="Refdecomentario">
    <w:name w:val="annotation reference"/>
    <w:basedOn w:val="Fuentedeprrafopredeter"/>
    <w:uiPriority w:val="99"/>
    <w:semiHidden/>
    <w:unhideWhenUsed/>
    <w:rsid w:val="00C6581E"/>
    <w:rPr>
      <w:sz w:val="16"/>
      <w:szCs w:val="16"/>
    </w:rPr>
  </w:style>
  <w:style w:type="paragraph" w:styleId="Prrafodelista">
    <w:name w:val="List Paragraph"/>
    <w:basedOn w:val="Normal"/>
    <w:uiPriority w:val="34"/>
    <w:qFormat/>
    <w:rsid w:val="00C6581E"/>
    <w:pPr>
      <w:ind w:left="720"/>
      <w:contextualSpacing/>
    </w:pPr>
    <w:rPr>
      <w:rFonts w:ascii="Arial" w:eastAsia="Arial" w:hAnsi="Arial" w:cs="Arial"/>
      <w:sz w:val="22"/>
      <w:szCs w:val="22"/>
      <w:lang w:val="es" w:eastAsia="ja-JP"/>
    </w:rPr>
  </w:style>
  <w:style w:type="paragraph" w:styleId="Asuntodelcomentario">
    <w:name w:val="annotation subject"/>
    <w:basedOn w:val="Textocomentario"/>
    <w:next w:val="Textocomentario"/>
    <w:link w:val="AsuntodelcomentarioCar"/>
    <w:uiPriority w:val="99"/>
    <w:semiHidden/>
    <w:unhideWhenUsed/>
    <w:rsid w:val="00AB645C"/>
    <w:rPr>
      <w:rFonts w:ascii="Times New Roman" w:eastAsia="Times New Roman" w:hAnsi="Times New Roman"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AB645C"/>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5186">
      <w:bodyDiv w:val="1"/>
      <w:marLeft w:val="0"/>
      <w:marRight w:val="0"/>
      <w:marTop w:val="0"/>
      <w:marBottom w:val="0"/>
      <w:divBdr>
        <w:top w:val="none" w:sz="0" w:space="0" w:color="auto"/>
        <w:left w:val="none" w:sz="0" w:space="0" w:color="auto"/>
        <w:bottom w:val="none" w:sz="0" w:space="0" w:color="auto"/>
        <w:right w:val="none" w:sz="0" w:space="0" w:color="auto"/>
      </w:divBdr>
    </w:div>
    <w:div w:id="485973663">
      <w:bodyDiv w:val="1"/>
      <w:marLeft w:val="0"/>
      <w:marRight w:val="0"/>
      <w:marTop w:val="0"/>
      <w:marBottom w:val="0"/>
      <w:divBdr>
        <w:top w:val="none" w:sz="0" w:space="0" w:color="auto"/>
        <w:left w:val="none" w:sz="0" w:space="0" w:color="auto"/>
        <w:bottom w:val="none" w:sz="0" w:space="0" w:color="auto"/>
        <w:right w:val="none" w:sz="0" w:space="0" w:color="auto"/>
      </w:divBdr>
    </w:div>
    <w:div w:id="628054068">
      <w:bodyDiv w:val="1"/>
      <w:marLeft w:val="0"/>
      <w:marRight w:val="0"/>
      <w:marTop w:val="0"/>
      <w:marBottom w:val="0"/>
      <w:divBdr>
        <w:top w:val="none" w:sz="0" w:space="0" w:color="auto"/>
        <w:left w:val="none" w:sz="0" w:space="0" w:color="auto"/>
        <w:bottom w:val="none" w:sz="0" w:space="0" w:color="auto"/>
        <w:right w:val="none" w:sz="0" w:space="0" w:color="auto"/>
      </w:divBdr>
    </w:div>
    <w:div w:id="12673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amento xmlns="86fbb03e-06d9-4e12-899b-85ae2e791394">Comunicaciones y Relaciones Corporativas</Departamento>
    <Macroprocesos xmlns="3410525b-d2fa-4a3d-a768-156301000eb6">14</Macroprocesos>
  </documentManagement>
</p:properties>
</file>

<file path=customXml/itemProps1.xml><?xml version="1.0" encoding="utf-8"?>
<ds:datastoreItem xmlns:ds="http://schemas.openxmlformats.org/officeDocument/2006/customXml" ds:itemID="{89776F22-6D66-421F-AA72-1F4AAE344D46}">
  <ds:schemaRefs>
    <ds:schemaRef ds:uri="http://schemas.openxmlformats.org/officeDocument/2006/bibliography"/>
  </ds:schemaRefs>
</ds:datastoreItem>
</file>

<file path=customXml/itemProps2.xml><?xml version="1.0" encoding="utf-8"?>
<ds:datastoreItem xmlns:ds="http://schemas.openxmlformats.org/officeDocument/2006/customXml" ds:itemID="{97199CEE-0844-4788-9213-FAE65304A23A}">
  <ds:schemaRefs>
    <ds:schemaRef ds:uri="http://schemas.microsoft.com/sharepoint/v3/contenttype/forms"/>
  </ds:schemaRefs>
</ds:datastoreItem>
</file>

<file path=customXml/itemProps3.xml><?xml version="1.0" encoding="utf-8"?>
<ds:datastoreItem xmlns:ds="http://schemas.openxmlformats.org/officeDocument/2006/customXml" ds:itemID="{5F4593F2-CB91-4602-A70A-B14552A5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CBE04-4AE8-47B8-B6D9-D8A34C34E24F}">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5076</Characters>
  <Application>Microsoft Office Word</Application>
  <DocSecurity>0</DocSecurity>
  <Lines>137</Lines>
  <Paragraphs>72</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Lopez Mora</dc:creator>
  <cp:keywords/>
  <dc:description/>
  <cp:lastModifiedBy>Fondo de Garantías de Instituciones Financieras </cp:lastModifiedBy>
  <cp:revision>3</cp:revision>
  <cp:lastPrinted>2017-10-25T16:07:00Z</cp:lastPrinted>
  <dcterms:created xsi:type="dcterms:W3CDTF">2026-06-24T16:47:00Z</dcterms:created>
  <dcterms:modified xsi:type="dcterms:W3CDTF">2026-06-24T16:47:00Z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