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BB77" w14:textId="77777777" w:rsidR="00476715" w:rsidRPr="000D7315" w:rsidRDefault="00D15797" w:rsidP="00D15797">
      <w:pPr>
        <w:tabs>
          <w:tab w:val="left" w:pos="7065"/>
        </w:tabs>
        <w:rPr>
          <w:rFonts w:ascii="Arial" w:hAnsi="Arial" w:cs="Arial"/>
        </w:rPr>
      </w:pPr>
      <w:r w:rsidRPr="000D7315">
        <w:rPr>
          <w:rFonts w:ascii="Arial" w:hAnsi="Arial" w:cs="Arial"/>
        </w:rPr>
        <w:tab/>
      </w:r>
    </w:p>
    <w:p w14:paraId="1730AC89" w14:textId="77777777" w:rsidR="00476715" w:rsidRDefault="00D475A0" w:rsidP="00476715">
      <w:pPr>
        <w:jc w:val="center"/>
        <w:rPr>
          <w:rFonts w:ascii="Arial" w:hAnsi="Arial" w:cs="Arial"/>
          <w:b/>
        </w:rPr>
      </w:pPr>
      <w:r>
        <w:rPr>
          <w:rFonts w:ascii="Arial" w:hAnsi="Arial" w:cs="Arial"/>
          <w:b/>
        </w:rPr>
        <w:t>INFORME GLOBAL DE COMENTARIOS</w:t>
      </w:r>
    </w:p>
    <w:p w14:paraId="4157B140" w14:textId="77777777" w:rsidR="00D475A0" w:rsidRPr="00016CBE" w:rsidRDefault="00D475A0" w:rsidP="00476715">
      <w:pPr>
        <w:jc w:val="center"/>
        <w:rPr>
          <w:rFonts w:ascii="Arial" w:hAnsi="Arial" w:cs="Arial"/>
          <w:b/>
        </w:rPr>
      </w:pPr>
      <w:r>
        <w:rPr>
          <w:rFonts w:ascii="Arial" w:hAnsi="Arial" w:cs="Arial"/>
          <w:b/>
        </w:rPr>
        <w:t>PROYECTO DE NORMATIVIDAD</w:t>
      </w:r>
    </w:p>
    <w:p w14:paraId="5C37C7E7" w14:textId="77777777" w:rsidR="0055500C" w:rsidRPr="00016CBE" w:rsidRDefault="0055500C" w:rsidP="00D15797">
      <w:pPr>
        <w:jc w:val="center"/>
        <w:rPr>
          <w:rFonts w:ascii="Arial" w:hAnsi="Arial" w:cs="Arial"/>
          <w:b/>
        </w:rPr>
      </w:pPr>
    </w:p>
    <w:tbl>
      <w:tblPr>
        <w:tblStyle w:val="Tablaconcuadrcula"/>
        <w:tblW w:w="18003" w:type="dxa"/>
        <w:tblInd w:w="-998" w:type="dxa"/>
        <w:tblLook w:val="04A0" w:firstRow="1" w:lastRow="0" w:firstColumn="1" w:lastColumn="0" w:noHBand="0" w:noVBand="1"/>
      </w:tblPr>
      <w:tblGrid>
        <w:gridCol w:w="2620"/>
        <w:gridCol w:w="1936"/>
        <w:gridCol w:w="967"/>
        <w:gridCol w:w="728"/>
        <w:gridCol w:w="1546"/>
        <w:gridCol w:w="2127"/>
        <w:gridCol w:w="8079"/>
      </w:tblGrid>
      <w:tr w:rsidR="00141E63" w14:paraId="151A7EF1" w14:textId="77777777" w:rsidTr="004E5992">
        <w:tc>
          <w:tcPr>
            <w:tcW w:w="2620" w:type="dxa"/>
            <w:vMerge w:val="restart"/>
          </w:tcPr>
          <w:p w14:paraId="62FCD915" w14:textId="77777777" w:rsidR="00141E63" w:rsidRPr="002E7F18" w:rsidRDefault="00141E63" w:rsidP="00D15797">
            <w:pPr>
              <w:jc w:val="both"/>
              <w:rPr>
                <w:rFonts w:ascii="Arial" w:hAnsi="Arial" w:cs="Arial"/>
                <w:b/>
                <w:sz w:val="18"/>
                <w:szCs w:val="18"/>
              </w:rPr>
            </w:pPr>
          </w:p>
          <w:p w14:paraId="1920F79D"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Norma</w:t>
            </w:r>
          </w:p>
        </w:tc>
        <w:tc>
          <w:tcPr>
            <w:tcW w:w="1936" w:type="dxa"/>
            <w:vMerge w:val="restart"/>
          </w:tcPr>
          <w:p w14:paraId="20C7F49D" w14:textId="77777777" w:rsidR="00141E63" w:rsidRPr="002E7F18" w:rsidRDefault="00141E63" w:rsidP="00D15797">
            <w:pPr>
              <w:jc w:val="both"/>
              <w:rPr>
                <w:rFonts w:ascii="Arial" w:hAnsi="Arial" w:cs="Arial"/>
                <w:b/>
                <w:sz w:val="18"/>
                <w:szCs w:val="18"/>
              </w:rPr>
            </w:pPr>
          </w:p>
          <w:p w14:paraId="31FFF5D1"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Objeto</w:t>
            </w:r>
          </w:p>
        </w:tc>
        <w:tc>
          <w:tcPr>
            <w:tcW w:w="1695" w:type="dxa"/>
            <w:gridSpan w:val="2"/>
          </w:tcPr>
          <w:p w14:paraId="4386110B" w14:textId="77777777" w:rsidR="00141E63" w:rsidRPr="002E7F18" w:rsidRDefault="00141E63" w:rsidP="00600A97">
            <w:pPr>
              <w:jc w:val="center"/>
              <w:rPr>
                <w:rFonts w:ascii="Arial" w:hAnsi="Arial" w:cs="Arial"/>
                <w:b/>
                <w:sz w:val="18"/>
                <w:szCs w:val="18"/>
              </w:rPr>
            </w:pPr>
            <w:r w:rsidRPr="002E7F18">
              <w:rPr>
                <w:rFonts w:ascii="Arial" w:hAnsi="Arial" w:cs="Arial"/>
                <w:b/>
                <w:sz w:val="18"/>
                <w:szCs w:val="18"/>
              </w:rPr>
              <w:t>Publicación</w:t>
            </w:r>
          </w:p>
        </w:tc>
        <w:tc>
          <w:tcPr>
            <w:tcW w:w="1546" w:type="dxa"/>
            <w:vMerge w:val="restart"/>
          </w:tcPr>
          <w:p w14:paraId="09489CBB" w14:textId="77777777" w:rsidR="00141E63" w:rsidRPr="002E7F18" w:rsidRDefault="00141E63" w:rsidP="00D15797">
            <w:pPr>
              <w:jc w:val="both"/>
              <w:rPr>
                <w:rFonts w:ascii="Arial" w:hAnsi="Arial" w:cs="Arial"/>
                <w:b/>
                <w:sz w:val="18"/>
                <w:szCs w:val="18"/>
              </w:rPr>
            </w:pPr>
          </w:p>
          <w:p w14:paraId="41B15B38"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Plazo para comentarios</w:t>
            </w:r>
          </w:p>
        </w:tc>
        <w:tc>
          <w:tcPr>
            <w:tcW w:w="2127" w:type="dxa"/>
            <w:vMerge w:val="restart"/>
          </w:tcPr>
          <w:p w14:paraId="4C055067" w14:textId="77777777" w:rsidR="00141E63" w:rsidRPr="002E7F18" w:rsidRDefault="00141E63" w:rsidP="00141E63">
            <w:pPr>
              <w:jc w:val="center"/>
              <w:rPr>
                <w:rFonts w:ascii="Arial" w:hAnsi="Arial" w:cs="Arial"/>
                <w:b/>
                <w:sz w:val="18"/>
                <w:szCs w:val="18"/>
              </w:rPr>
            </w:pPr>
          </w:p>
          <w:p w14:paraId="02EA7030"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Comentarios recibidos</w:t>
            </w:r>
          </w:p>
        </w:tc>
        <w:tc>
          <w:tcPr>
            <w:tcW w:w="8079" w:type="dxa"/>
            <w:vMerge w:val="restart"/>
          </w:tcPr>
          <w:p w14:paraId="76DEA312" w14:textId="77777777" w:rsidR="00141E63" w:rsidRPr="002E7F18" w:rsidRDefault="00141E63" w:rsidP="00141E63">
            <w:pPr>
              <w:jc w:val="center"/>
              <w:rPr>
                <w:rFonts w:ascii="Arial" w:hAnsi="Arial" w:cs="Arial"/>
                <w:b/>
                <w:sz w:val="18"/>
                <w:szCs w:val="18"/>
              </w:rPr>
            </w:pPr>
          </w:p>
          <w:p w14:paraId="5622EE3D"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Análisis de viabilidad</w:t>
            </w:r>
          </w:p>
        </w:tc>
      </w:tr>
      <w:tr w:rsidR="00141E63" w14:paraId="3E8BA6C7" w14:textId="77777777" w:rsidTr="004E5992">
        <w:tc>
          <w:tcPr>
            <w:tcW w:w="2620" w:type="dxa"/>
            <w:vMerge/>
          </w:tcPr>
          <w:p w14:paraId="3484A2CB" w14:textId="77777777" w:rsidR="00141E63" w:rsidRPr="002E7F18" w:rsidRDefault="00141E63" w:rsidP="00D15797">
            <w:pPr>
              <w:jc w:val="both"/>
              <w:rPr>
                <w:rFonts w:ascii="Arial" w:hAnsi="Arial" w:cs="Arial"/>
                <w:sz w:val="18"/>
                <w:szCs w:val="18"/>
              </w:rPr>
            </w:pPr>
          </w:p>
        </w:tc>
        <w:tc>
          <w:tcPr>
            <w:tcW w:w="1936" w:type="dxa"/>
            <w:vMerge/>
          </w:tcPr>
          <w:p w14:paraId="5F6604E9" w14:textId="77777777" w:rsidR="00141E63" w:rsidRPr="002E7F18" w:rsidRDefault="00141E63" w:rsidP="00D15797">
            <w:pPr>
              <w:jc w:val="both"/>
              <w:rPr>
                <w:rFonts w:ascii="Arial" w:hAnsi="Arial" w:cs="Arial"/>
                <w:sz w:val="18"/>
                <w:szCs w:val="18"/>
              </w:rPr>
            </w:pPr>
          </w:p>
        </w:tc>
        <w:tc>
          <w:tcPr>
            <w:tcW w:w="967" w:type="dxa"/>
          </w:tcPr>
          <w:p w14:paraId="67D73D34"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Página web</w:t>
            </w:r>
          </w:p>
        </w:tc>
        <w:tc>
          <w:tcPr>
            <w:tcW w:w="728" w:type="dxa"/>
          </w:tcPr>
          <w:p w14:paraId="4753D692" w14:textId="77777777" w:rsidR="00141E63" w:rsidRPr="002E7F18" w:rsidRDefault="00141E63" w:rsidP="00141E63">
            <w:pPr>
              <w:jc w:val="center"/>
              <w:rPr>
                <w:rFonts w:ascii="Arial" w:hAnsi="Arial" w:cs="Arial"/>
                <w:b/>
                <w:sz w:val="18"/>
                <w:szCs w:val="18"/>
              </w:rPr>
            </w:pPr>
            <w:r w:rsidRPr="002E7F18">
              <w:rPr>
                <w:rFonts w:ascii="Arial" w:hAnsi="Arial" w:cs="Arial"/>
                <w:b/>
                <w:sz w:val="18"/>
                <w:szCs w:val="18"/>
              </w:rPr>
              <w:t>Sede física</w:t>
            </w:r>
          </w:p>
        </w:tc>
        <w:tc>
          <w:tcPr>
            <w:tcW w:w="1546" w:type="dxa"/>
            <w:vMerge/>
          </w:tcPr>
          <w:p w14:paraId="765B8158" w14:textId="77777777" w:rsidR="00141E63" w:rsidRPr="002E7F18" w:rsidRDefault="00141E63" w:rsidP="00D15797">
            <w:pPr>
              <w:jc w:val="both"/>
              <w:rPr>
                <w:rFonts w:ascii="Arial" w:hAnsi="Arial" w:cs="Arial"/>
                <w:sz w:val="18"/>
                <w:szCs w:val="18"/>
              </w:rPr>
            </w:pPr>
          </w:p>
        </w:tc>
        <w:tc>
          <w:tcPr>
            <w:tcW w:w="2127" w:type="dxa"/>
            <w:vMerge/>
          </w:tcPr>
          <w:p w14:paraId="2F7DF2CC" w14:textId="77777777" w:rsidR="00141E63" w:rsidRPr="002E7F18" w:rsidRDefault="00141E63" w:rsidP="00D15797">
            <w:pPr>
              <w:jc w:val="both"/>
              <w:rPr>
                <w:rFonts w:ascii="Arial" w:hAnsi="Arial" w:cs="Arial"/>
                <w:sz w:val="18"/>
                <w:szCs w:val="18"/>
              </w:rPr>
            </w:pPr>
          </w:p>
        </w:tc>
        <w:tc>
          <w:tcPr>
            <w:tcW w:w="8079" w:type="dxa"/>
            <w:vMerge/>
          </w:tcPr>
          <w:p w14:paraId="0DD85042" w14:textId="77777777" w:rsidR="00141E63" w:rsidRPr="002E7F18" w:rsidRDefault="00141E63" w:rsidP="00D15797">
            <w:pPr>
              <w:jc w:val="both"/>
              <w:rPr>
                <w:rFonts w:ascii="Arial" w:hAnsi="Arial" w:cs="Arial"/>
                <w:sz w:val="18"/>
                <w:szCs w:val="18"/>
              </w:rPr>
            </w:pPr>
          </w:p>
        </w:tc>
      </w:tr>
      <w:tr w:rsidR="00913D4E" w14:paraId="4AC24A68" w14:textId="77777777" w:rsidTr="004E5992">
        <w:tc>
          <w:tcPr>
            <w:tcW w:w="2620" w:type="dxa"/>
          </w:tcPr>
          <w:p w14:paraId="036EE4E7" w14:textId="5676CAB1" w:rsidR="00913D4E" w:rsidRPr="002E7F18" w:rsidRDefault="00913D4E" w:rsidP="00913D4E">
            <w:pPr>
              <w:ind w:left="22" w:hanging="22"/>
              <w:jc w:val="both"/>
              <w:rPr>
                <w:rFonts w:ascii="Arial" w:hAnsi="Arial" w:cs="Arial"/>
                <w:color w:val="FF0000"/>
                <w:sz w:val="18"/>
                <w:szCs w:val="18"/>
              </w:rPr>
            </w:pPr>
            <w:r w:rsidRPr="002E7F18">
              <w:rPr>
                <w:rFonts w:ascii="Arial" w:hAnsi="Arial" w:cs="Arial"/>
                <w:sz w:val="18"/>
                <w:szCs w:val="18"/>
              </w:rPr>
              <w:t>Resolución Externa (Por medio de la cual la Junta Directiva del Fondo de Garantías de Instituciones Financieras regula el Seguro de Depósitos aplicable a las Sociedades Especializadas en Depósitos y Pagos Electrónicos -SEDPES)</w:t>
            </w:r>
          </w:p>
          <w:p w14:paraId="0E89FFFB" w14:textId="473CD2C7" w:rsidR="00913D4E" w:rsidRPr="002E7F18" w:rsidRDefault="00913D4E" w:rsidP="00913D4E">
            <w:pPr>
              <w:jc w:val="both"/>
              <w:rPr>
                <w:rFonts w:ascii="Arial" w:hAnsi="Arial" w:cs="Arial"/>
                <w:sz w:val="18"/>
                <w:szCs w:val="18"/>
              </w:rPr>
            </w:pPr>
          </w:p>
        </w:tc>
        <w:tc>
          <w:tcPr>
            <w:tcW w:w="1936" w:type="dxa"/>
          </w:tcPr>
          <w:p w14:paraId="2DC5C4B8" w14:textId="05AF2640" w:rsidR="00913D4E" w:rsidRPr="002E7F18" w:rsidRDefault="00913D4E" w:rsidP="00D64187">
            <w:pPr>
              <w:ind w:left="22" w:hanging="22"/>
              <w:rPr>
                <w:rFonts w:ascii="Arial" w:hAnsi="Arial" w:cs="Arial"/>
                <w:sz w:val="18"/>
                <w:szCs w:val="18"/>
              </w:rPr>
            </w:pPr>
            <w:r w:rsidRPr="002E7F18">
              <w:rPr>
                <w:rFonts w:ascii="Arial" w:hAnsi="Arial" w:cs="Arial"/>
                <w:sz w:val="18"/>
                <w:szCs w:val="18"/>
              </w:rPr>
              <w:t xml:space="preserve">Se incorporan precisiones en relación con el procedimiento de inscripción, gestión de pagos en exceso de la prima, y </w:t>
            </w:r>
            <w:r w:rsidR="00F622A2" w:rsidRPr="002E7F18">
              <w:rPr>
                <w:rFonts w:ascii="Arial" w:hAnsi="Arial" w:cs="Arial"/>
                <w:sz w:val="18"/>
                <w:szCs w:val="18"/>
              </w:rPr>
              <w:t>otras</w:t>
            </w:r>
            <w:r w:rsidRPr="002E7F18">
              <w:rPr>
                <w:rFonts w:ascii="Arial" w:hAnsi="Arial" w:cs="Arial"/>
                <w:sz w:val="18"/>
                <w:szCs w:val="18"/>
              </w:rPr>
              <w:t xml:space="preserve"> precisiones al Seguro de Depósitos</w:t>
            </w:r>
          </w:p>
          <w:p w14:paraId="17188BA1" w14:textId="2FBEA008" w:rsidR="00913D4E" w:rsidRPr="002E7F18" w:rsidRDefault="00913D4E" w:rsidP="00D64187">
            <w:pPr>
              <w:ind w:left="22" w:hanging="22"/>
              <w:jc w:val="both"/>
              <w:rPr>
                <w:rFonts w:ascii="Arial" w:hAnsi="Arial" w:cs="Arial"/>
                <w:sz w:val="18"/>
                <w:szCs w:val="18"/>
              </w:rPr>
            </w:pPr>
          </w:p>
          <w:p w14:paraId="5F2DF1EF" w14:textId="505025C5" w:rsidR="00913D4E" w:rsidRPr="002E7F18" w:rsidRDefault="00913D4E" w:rsidP="00913D4E">
            <w:pPr>
              <w:ind w:left="64"/>
              <w:jc w:val="both"/>
              <w:rPr>
                <w:rFonts w:ascii="Arial" w:hAnsi="Arial" w:cs="Arial"/>
                <w:sz w:val="18"/>
                <w:szCs w:val="18"/>
              </w:rPr>
            </w:pPr>
          </w:p>
        </w:tc>
        <w:tc>
          <w:tcPr>
            <w:tcW w:w="967" w:type="dxa"/>
          </w:tcPr>
          <w:p w14:paraId="00A74F0C" w14:textId="77777777" w:rsidR="00913D4E" w:rsidRPr="002E7F18" w:rsidRDefault="00913D4E" w:rsidP="00913D4E">
            <w:pPr>
              <w:jc w:val="both"/>
              <w:rPr>
                <w:rFonts w:ascii="Arial" w:hAnsi="Arial" w:cs="Arial"/>
                <w:sz w:val="18"/>
                <w:szCs w:val="18"/>
              </w:rPr>
            </w:pPr>
            <w:r w:rsidRPr="002E7F18">
              <w:rPr>
                <w:rFonts w:ascii="Arial" w:hAnsi="Arial" w:cs="Arial"/>
                <w:sz w:val="18"/>
                <w:szCs w:val="18"/>
              </w:rPr>
              <w:t>Sí</w:t>
            </w:r>
          </w:p>
        </w:tc>
        <w:tc>
          <w:tcPr>
            <w:tcW w:w="728" w:type="dxa"/>
          </w:tcPr>
          <w:p w14:paraId="2D901E15" w14:textId="77777777" w:rsidR="00913D4E" w:rsidRPr="002E7F18" w:rsidRDefault="00913D4E" w:rsidP="00913D4E">
            <w:pPr>
              <w:jc w:val="both"/>
              <w:rPr>
                <w:rFonts w:ascii="Arial" w:hAnsi="Arial" w:cs="Arial"/>
                <w:sz w:val="18"/>
                <w:szCs w:val="18"/>
              </w:rPr>
            </w:pPr>
            <w:r w:rsidRPr="002E7F18">
              <w:rPr>
                <w:rFonts w:ascii="Arial" w:hAnsi="Arial" w:cs="Arial"/>
                <w:sz w:val="18"/>
                <w:szCs w:val="18"/>
              </w:rPr>
              <w:t>Sí</w:t>
            </w:r>
          </w:p>
        </w:tc>
        <w:tc>
          <w:tcPr>
            <w:tcW w:w="1546" w:type="dxa"/>
          </w:tcPr>
          <w:p w14:paraId="0CDED13E" w14:textId="3693B23A" w:rsidR="00913D4E" w:rsidRPr="002E7F18" w:rsidRDefault="00512583" w:rsidP="00913D4E">
            <w:pPr>
              <w:jc w:val="both"/>
              <w:rPr>
                <w:rFonts w:ascii="Arial" w:hAnsi="Arial" w:cs="Arial"/>
                <w:sz w:val="18"/>
                <w:szCs w:val="18"/>
              </w:rPr>
            </w:pPr>
            <w:r w:rsidRPr="002E7F18">
              <w:rPr>
                <w:rFonts w:ascii="Arial" w:hAnsi="Arial" w:cs="Arial"/>
                <w:sz w:val="18"/>
                <w:szCs w:val="18"/>
              </w:rPr>
              <w:t xml:space="preserve">Del </w:t>
            </w:r>
            <w:r w:rsidR="00913D4E" w:rsidRPr="002E7F18">
              <w:rPr>
                <w:rFonts w:ascii="Arial" w:hAnsi="Arial" w:cs="Arial"/>
                <w:sz w:val="18"/>
                <w:szCs w:val="18"/>
              </w:rPr>
              <w:t xml:space="preserve">12 </w:t>
            </w:r>
            <w:r w:rsidRPr="002E7F18">
              <w:rPr>
                <w:rFonts w:ascii="Arial" w:hAnsi="Arial" w:cs="Arial"/>
                <w:sz w:val="18"/>
                <w:szCs w:val="18"/>
              </w:rPr>
              <w:t xml:space="preserve">al </w:t>
            </w:r>
            <w:r w:rsidR="00913D4E" w:rsidRPr="002E7F18">
              <w:rPr>
                <w:rFonts w:ascii="Arial" w:hAnsi="Arial" w:cs="Arial"/>
                <w:sz w:val="18"/>
                <w:szCs w:val="18"/>
              </w:rPr>
              <w:t>19 de mayo de 2026</w:t>
            </w:r>
          </w:p>
        </w:tc>
        <w:tc>
          <w:tcPr>
            <w:tcW w:w="2127" w:type="dxa"/>
          </w:tcPr>
          <w:p w14:paraId="5B0DECAF" w14:textId="2766FBA7" w:rsidR="00913D4E" w:rsidRPr="002E7F18" w:rsidRDefault="00913D4E" w:rsidP="00512583">
            <w:pPr>
              <w:rPr>
                <w:rFonts w:ascii="Arial" w:hAnsi="Arial" w:cs="Arial"/>
                <w:sz w:val="18"/>
                <w:szCs w:val="18"/>
              </w:rPr>
            </w:pPr>
            <w:r w:rsidRPr="002E7F18">
              <w:rPr>
                <w:rFonts w:ascii="Arial" w:hAnsi="Arial" w:cs="Arial"/>
                <w:sz w:val="18"/>
                <w:szCs w:val="18"/>
              </w:rPr>
              <w:t xml:space="preserve">Se </w:t>
            </w:r>
            <w:r w:rsidR="002E7F18" w:rsidRPr="002E7F18">
              <w:rPr>
                <w:rFonts w:ascii="Arial" w:hAnsi="Arial" w:cs="Arial"/>
                <w:sz w:val="18"/>
                <w:szCs w:val="18"/>
              </w:rPr>
              <w:t>recibieron comentarios</w:t>
            </w:r>
            <w:r w:rsidRPr="002E7F18">
              <w:rPr>
                <w:rFonts w:ascii="Arial" w:hAnsi="Arial" w:cs="Arial"/>
                <w:sz w:val="18"/>
                <w:szCs w:val="18"/>
              </w:rPr>
              <w:t xml:space="preserve"> de Colombia Fintech</w:t>
            </w:r>
          </w:p>
        </w:tc>
        <w:tc>
          <w:tcPr>
            <w:tcW w:w="8079" w:type="dxa"/>
          </w:tcPr>
          <w:p w14:paraId="7352D988" w14:textId="6D82A8C2" w:rsidR="009F352D" w:rsidRPr="0031688B" w:rsidRDefault="00913D4E" w:rsidP="00502498">
            <w:pPr>
              <w:pStyle w:val="Prrafodelista"/>
              <w:numPr>
                <w:ilvl w:val="0"/>
                <w:numId w:val="2"/>
              </w:numPr>
              <w:jc w:val="both"/>
              <w:rPr>
                <w:rFonts w:ascii="Arial" w:hAnsi="Arial" w:cs="Arial"/>
                <w:sz w:val="18"/>
                <w:szCs w:val="18"/>
              </w:rPr>
            </w:pPr>
            <w:r w:rsidRPr="0031688B">
              <w:rPr>
                <w:rFonts w:ascii="Arial" w:hAnsi="Arial" w:cs="Arial"/>
                <w:b/>
                <w:sz w:val="18"/>
                <w:szCs w:val="18"/>
              </w:rPr>
              <w:t>Análisis de los comentarios recibidos:</w:t>
            </w:r>
            <w:r w:rsidRPr="0031688B">
              <w:rPr>
                <w:rFonts w:ascii="Arial" w:hAnsi="Arial" w:cs="Arial"/>
                <w:sz w:val="18"/>
                <w:szCs w:val="18"/>
              </w:rPr>
              <w:t xml:space="preserve"> Los comentarios </w:t>
            </w:r>
            <w:r w:rsidR="00512583" w:rsidRPr="0031688B">
              <w:rPr>
                <w:rFonts w:ascii="Arial" w:hAnsi="Arial" w:cs="Arial"/>
                <w:sz w:val="18"/>
                <w:szCs w:val="18"/>
              </w:rPr>
              <w:t>están relacionados con</w:t>
            </w:r>
            <w:r w:rsidR="000938A8" w:rsidRPr="0031688B">
              <w:rPr>
                <w:rFonts w:ascii="Arial" w:hAnsi="Arial" w:cs="Arial"/>
                <w:sz w:val="18"/>
                <w:szCs w:val="18"/>
              </w:rPr>
              <w:t xml:space="preserve"> </w:t>
            </w:r>
            <w:r w:rsidR="00D64187" w:rsidRPr="0031688B">
              <w:rPr>
                <w:rFonts w:ascii="Arial" w:hAnsi="Arial" w:cs="Arial"/>
                <w:sz w:val="18"/>
                <w:szCs w:val="18"/>
              </w:rPr>
              <w:t>(</w:t>
            </w:r>
            <w:r w:rsidR="000938A8" w:rsidRPr="0031688B">
              <w:rPr>
                <w:rFonts w:ascii="Arial" w:hAnsi="Arial" w:cs="Arial"/>
                <w:sz w:val="18"/>
                <w:szCs w:val="18"/>
              </w:rPr>
              <w:t>i</w:t>
            </w:r>
            <w:r w:rsidR="00D64187" w:rsidRPr="0031688B">
              <w:rPr>
                <w:rFonts w:ascii="Arial" w:hAnsi="Arial" w:cs="Arial"/>
                <w:sz w:val="18"/>
                <w:szCs w:val="18"/>
              </w:rPr>
              <w:t>)</w:t>
            </w:r>
            <w:r w:rsidR="00512583" w:rsidRPr="0031688B">
              <w:rPr>
                <w:rFonts w:ascii="Arial" w:hAnsi="Arial" w:cs="Arial"/>
                <w:sz w:val="18"/>
                <w:szCs w:val="18"/>
              </w:rPr>
              <w:t xml:space="preserve"> </w:t>
            </w:r>
            <w:r w:rsidRPr="0031688B">
              <w:rPr>
                <w:rFonts w:ascii="Arial" w:hAnsi="Arial" w:cs="Arial"/>
                <w:sz w:val="18"/>
                <w:szCs w:val="18"/>
              </w:rPr>
              <w:t>la</w:t>
            </w:r>
            <w:r w:rsidRPr="0031688B">
              <w:rPr>
                <w:sz w:val="18"/>
                <w:szCs w:val="18"/>
              </w:rPr>
              <w:t xml:space="preserve"> </w:t>
            </w:r>
            <w:r w:rsidRPr="0031688B">
              <w:rPr>
                <w:rFonts w:ascii="Arial" w:hAnsi="Arial" w:cs="Arial"/>
                <w:sz w:val="18"/>
                <w:szCs w:val="18"/>
              </w:rPr>
              <w:t xml:space="preserve">modificación de la </w:t>
            </w:r>
            <w:r w:rsidR="00853BC0" w:rsidRPr="0031688B">
              <w:rPr>
                <w:rFonts w:ascii="Arial" w:hAnsi="Arial" w:cs="Arial"/>
                <w:sz w:val="18"/>
                <w:szCs w:val="18"/>
              </w:rPr>
              <w:t>b</w:t>
            </w:r>
            <w:r w:rsidRPr="0031688B">
              <w:rPr>
                <w:rFonts w:ascii="Arial" w:hAnsi="Arial" w:cs="Arial"/>
                <w:sz w:val="18"/>
                <w:szCs w:val="18"/>
              </w:rPr>
              <w:t xml:space="preserve">ase de </w:t>
            </w:r>
            <w:r w:rsidR="00853BC0" w:rsidRPr="0031688B">
              <w:rPr>
                <w:rFonts w:ascii="Arial" w:hAnsi="Arial" w:cs="Arial"/>
                <w:sz w:val="18"/>
                <w:szCs w:val="18"/>
              </w:rPr>
              <w:t>c</w:t>
            </w:r>
            <w:r w:rsidRPr="0031688B">
              <w:rPr>
                <w:rFonts w:ascii="Arial" w:hAnsi="Arial" w:cs="Arial"/>
                <w:sz w:val="18"/>
                <w:szCs w:val="18"/>
              </w:rPr>
              <w:t xml:space="preserve">álculo para la </w:t>
            </w:r>
            <w:r w:rsidR="00D64187" w:rsidRPr="0031688B">
              <w:rPr>
                <w:rFonts w:ascii="Arial" w:hAnsi="Arial" w:cs="Arial"/>
                <w:sz w:val="18"/>
                <w:szCs w:val="18"/>
              </w:rPr>
              <w:t>p</w:t>
            </w:r>
            <w:r w:rsidRPr="0031688B">
              <w:rPr>
                <w:rFonts w:ascii="Arial" w:hAnsi="Arial" w:cs="Arial"/>
                <w:sz w:val="18"/>
                <w:szCs w:val="18"/>
              </w:rPr>
              <w:t>rima</w:t>
            </w:r>
            <w:r w:rsidR="00512583" w:rsidRPr="0031688B">
              <w:rPr>
                <w:rFonts w:ascii="Arial" w:hAnsi="Arial" w:cs="Arial"/>
                <w:sz w:val="18"/>
                <w:szCs w:val="18"/>
              </w:rPr>
              <w:t xml:space="preserve">, </w:t>
            </w:r>
            <w:r w:rsidR="00D64187" w:rsidRPr="0031688B">
              <w:rPr>
                <w:rFonts w:ascii="Arial" w:hAnsi="Arial" w:cs="Arial"/>
                <w:sz w:val="18"/>
                <w:szCs w:val="18"/>
              </w:rPr>
              <w:t>la cual</w:t>
            </w:r>
            <w:r w:rsidR="00512583" w:rsidRPr="0031688B">
              <w:rPr>
                <w:rFonts w:ascii="Arial" w:hAnsi="Arial" w:cs="Arial"/>
                <w:sz w:val="18"/>
                <w:szCs w:val="18"/>
              </w:rPr>
              <w:t xml:space="preserve"> no </w:t>
            </w:r>
            <w:r w:rsidRPr="0031688B">
              <w:rPr>
                <w:rFonts w:ascii="Arial" w:hAnsi="Arial" w:cs="Arial"/>
                <w:sz w:val="18"/>
                <w:szCs w:val="18"/>
              </w:rPr>
              <w:t>fue modificada en el proyecto publicado</w:t>
            </w:r>
            <w:r w:rsidR="00512583" w:rsidRPr="0031688B">
              <w:rPr>
                <w:rFonts w:ascii="Arial" w:hAnsi="Arial" w:cs="Arial"/>
                <w:sz w:val="18"/>
                <w:szCs w:val="18"/>
              </w:rPr>
              <w:t xml:space="preserve">, y </w:t>
            </w:r>
            <w:r w:rsidR="00D64187" w:rsidRPr="0031688B">
              <w:rPr>
                <w:rFonts w:ascii="Arial" w:hAnsi="Arial" w:cs="Arial"/>
                <w:sz w:val="18"/>
                <w:szCs w:val="18"/>
              </w:rPr>
              <w:t>(</w:t>
            </w:r>
            <w:r w:rsidR="000938A8" w:rsidRPr="0031688B">
              <w:rPr>
                <w:rFonts w:ascii="Arial" w:hAnsi="Arial" w:cs="Arial"/>
                <w:sz w:val="18"/>
                <w:szCs w:val="18"/>
              </w:rPr>
              <w:t>ii</w:t>
            </w:r>
            <w:r w:rsidR="00D64187" w:rsidRPr="0031688B">
              <w:rPr>
                <w:rFonts w:ascii="Arial" w:hAnsi="Arial" w:cs="Arial"/>
                <w:sz w:val="18"/>
                <w:szCs w:val="18"/>
              </w:rPr>
              <w:t>)</w:t>
            </w:r>
            <w:r w:rsidR="000938A8" w:rsidRPr="0031688B">
              <w:rPr>
                <w:rFonts w:ascii="Arial" w:hAnsi="Arial" w:cs="Arial"/>
                <w:sz w:val="18"/>
                <w:szCs w:val="18"/>
              </w:rPr>
              <w:t xml:space="preserve"> </w:t>
            </w:r>
            <w:r w:rsidRPr="0031688B">
              <w:rPr>
                <w:rFonts w:ascii="Arial" w:hAnsi="Arial" w:cs="Arial"/>
                <w:sz w:val="18"/>
                <w:szCs w:val="18"/>
              </w:rPr>
              <w:t>la reducción en el tiempo para solicitar la devolución de pagos en exceso</w:t>
            </w:r>
            <w:r w:rsidR="000938A8" w:rsidRPr="0031688B">
              <w:rPr>
                <w:rFonts w:ascii="Arial" w:hAnsi="Arial" w:cs="Arial"/>
                <w:sz w:val="18"/>
                <w:szCs w:val="18"/>
              </w:rPr>
              <w:t xml:space="preserve">, </w:t>
            </w:r>
            <w:r w:rsidR="00D64187" w:rsidRPr="0031688B">
              <w:rPr>
                <w:rFonts w:ascii="Arial" w:hAnsi="Arial" w:cs="Arial"/>
                <w:sz w:val="18"/>
                <w:szCs w:val="18"/>
              </w:rPr>
              <w:t xml:space="preserve">sobre lo cual se debe tener en cuenta </w:t>
            </w:r>
            <w:r w:rsidR="009F352D" w:rsidRPr="0031688B">
              <w:rPr>
                <w:rFonts w:ascii="Arial" w:hAnsi="Arial" w:cs="Arial"/>
                <w:sz w:val="18"/>
                <w:szCs w:val="18"/>
              </w:rPr>
              <w:t>que el proceso de cálculo y pago de la prima del Seguro de Depósitos cuenta con herramientas tecnológicas y operativas que permiten, en la mayoría de los casos, tanto a la entidad inscrita como al Fondo, identificar oportunamente los pagos en exceso.</w:t>
            </w:r>
            <w:r w:rsidR="009F352D" w:rsidRPr="0031688B">
              <w:rPr>
                <w:rFonts w:ascii="Arial" w:hAnsi="Arial" w:cs="Arial"/>
                <w:sz w:val="18"/>
                <w:szCs w:val="18"/>
              </w:rPr>
              <w:t xml:space="preserve"> </w:t>
            </w:r>
            <w:r w:rsidR="009F352D" w:rsidRPr="0031688B">
              <w:rPr>
                <w:rFonts w:ascii="Arial" w:hAnsi="Arial" w:cs="Arial"/>
                <w:sz w:val="18"/>
                <w:szCs w:val="18"/>
              </w:rPr>
              <w:t>En es</w:t>
            </w:r>
            <w:r w:rsidR="009F352D" w:rsidRPr="0031688B">
              <w:rPr>
                <w:rFonts w:ascii="Arial" w:hAnsi="Arial" w:cs="Arial"/>
                <w:sz w:val="18"/>
                <w:szCs w:val="18"/>
              </w:rPr>
              <w:t>e</w:t>
            </w:r>
            <w:r w:rsidR="009F352D" w:rsidRPr="0031688B">
              <w:rPr>
                <w:rFonts w:ascii="Arial" w:hAnsi="Arial" w:cs="Arial"/>
                <w:sz w:val="18"/>
                <w:szCs w:val="18"/>
              </w:rPr>
              <w:t xml:space="preserve"> sentido, la modificación del término busca agilizar la recuperación de estos recursos por parte de las entidades, permitiendo su devolución o compensación en el siguiente ciclo de pago, lo cual contribuye a reducir salidas adicionales de dinero.</w:t>
            </w:r>
            <w:r w:rsidR="009F352D" w:rsidRPr="0031688B">
              <w:rPr>
                <w:rFonts w:ascii="Arial" w:hAnsi="Arial" w:cs="Arial"/>
                <w:sz w:val="18"/>
                <w:szCs w:val="18"/>
              </w:rPr>
              <w:t xml:space="preserve"> Así mismo, </w:t>
            </w:r>
            <w:r w:rsidR="009F352D" w:rsidRPr="0031688B">
              <w:rPr>
                <w:rFonts w:ascii="Arial" w:hAnsi="Arial" w:cs="Arial"/>
                <w:sz w:val="18"/>
                <w:szCs w:val="18"/>
              </w:rPr>
              <w:t xml:space="preserve">se precisa que el objetivo de la medida no es restringir el derecho de las entidades a solicitar la devolución de pagos en exceso, sino promover una gestión más eficiente y oportuna de los saldos a favor. </w:t>
            </w:r>
            <w:r w:rsidR="0031688B" w:rsidRPr="0031688B">
              <w:rPr>
                <w:rFonts w:ascii="Arial" w:hAnsi="Arial" w:cs="Arial"/>
                <w:sz w:val="18"/>
                <w:szCs w:val="18"/>
              </w:rPr>
              <w:t xml:space="preserve">Esta </w:t>
            </w:r>
            <w:r w:rsidR="009F352D" w:rsidRPr="0031688B">
              <w:rPr>
                <w:rFonts w:ascii="Arial" w:hAnsi="Arial" w:cs="Arial"/>
                <w:sz w:val="18"/>
                <w:szCs w:val="18"/>
              </w:rPr>
              <w:t>medida permite al Fondo realizar los ajustes contables con mayor prontitud y eficiencia, teniendo en cuenta que un plazo de un año genera reprocesamientos de información.</w:t>
            </w:r>
            <w:r w:rsidR="0031688B" w:rsidRPr="0031688B">
              <w:rPr>
                <w:rFonts w:ascii="Arial" w:hAnsi="Arial" w:cs="Arial"/>
                <w:sz w:val="18"/>
                <w:szCs w:val="18"/>
              </w:rPr>
              <w:t xml:space="preserve"> </w:t>
            </w:r>
            <w:r w:rsidR="009F352D" w:rsidRPr="0031688B">
              <w:rPr>
                <w:rFonts w:ascii="Arial" w:hAnsi="Arial" w:cs="Arial"/>
                <w:sz w:val="18"/>
                <w:szCs w:val="18"/>
              </w:rPr>
              <w:t>Finalmente, se aclara que el plazo para la gestión de pagos en exceso en los Establecimientos de Crédito también fue reducido en la normativa aplicable, por lo cual todas las entidades se encuentran en las mismas condiciones.</w:t>
            </w:r>
          </w:p>
          <w:p w14:paraId="2D6DEDF4" w14:textId="51D689CD" w:rsidR="00F622A2" w:rsidRPr="002E7F18" w:rsidRDefault="00913D4E" w:rsidP="00913D4E">
            <w:pPr>
              <w:pStyle w:val="Prrafodelista"/>
              <w:numPr>
                <w:ilvl w:val="0"/>
                <w:numId w:val="2"/>
              </w:numPr>
              <w:jc w:val="both"/>
              <w:rPr>
                <w:rFonts w:ascii="Arial" w:hAnsi="Arial" w:cs="Arial"/>
                <w:sz w:val="18"/>
                <w:szCs w:val="18"/>
              </w:rPr>
            </w:pPr>
            <w:r w:rsidRPr="002E7F18">
              <w:rPr>
                <w:rFonts w:ascii="Arial" w:hAnsi="Arial" w:cs="Arial"/>
                <w:b/>
                <w:sz w:val="18"/>
                <w:szCs w:val="18"/>
              </w:rPr>
              <w:t>Antecedentes y razones de oportunidad de proyecto normativo:</w:t>
            </w:r>
            <w:r w:rsidRPr="002E7F18">
              <w:rPr>
                <w:rFonts w:ascii="Arial" w:hAnsi="Arial" w:cs="Arial"/>
                <w:sz w:val="18"/>
                <w:szCs w:val="18"/>
              </w:rPr>
              <w:t xml:space="preserve"> La Resolución 002 de 2024 es el antecedente inmediato de este proyecto.</w:t>
            </w:r>
            <w:r w:rsidR="00F622A2" w:rsidRPr="002E7F18">
              <w:rPr>
                <w:rFonts w:ascii="Arial" w:hAnsi="Arial" w:cs="Arial"/>
                <w:sz w:val="18"/>
                <w:szCs w:val="18"/>
              </w:rPr>
              <w:t xml:space="preserve"> </w:t>
            </w:r>
            <w:r w:rsidRPr="002E7F18">
              <w:rPr>
                <w:rFonts w:ascii="Arial" w:hAnsi="Arial" w:cs="Arial"/>
                <w:sz w:val="18"/>
                <w:szCs w:val="18"/>
              </w:rPr>
              <w:t xml:space="preserve">Se identificó la necesidad </w:t>
            </w:r>
            <w:r w:rsidR="00F622A2" w:rsidRPr="002E7F18">
              <w:rPr>
                <w:rFonts w:ascii="Arial" w:hAnsi="Arial" w:cs="Arial"/>
                <w:sz w:val="18"/>
                <w:szCs w:val="18"/>
              </w:rPr>
              <w:t>de incorporar precisiones en relación con el procedimiento de inscripción, gestión de pagos en exceso de la prima, y otras precisiones al Seguro de Depósitos</w:t>
            </w:r>
            <w:r w:rsidR="00853BC0" w:rsidRPr="002E7F18">
              <w:rPr>
                <w:rFonts w:ascii="Arial" w:hAnsi="Arial" w:cs="Arial"/>
                <w:sz w:val="18"/>
                <w:szCs w:val="18"/>
              </w:rPr>
              <w:t xml:space="preserve"> (acreencias no amparadas, revisión valor máximo asegurado)</w:t>
            </w:r>
            <w:r w:rsidR="00F622A2" w:rsidRPr="002E7F18">
              <w:rPr>
                <w:rFonts w:ascii="Arial" w:hAnsi="Arial" w:cs="Arial"/>
                <w:sz w:val="18"/>
                <w:szCs w:val="18"/>
              </w:rPr>
              <w:t>.</w:t>
            </w:r>
          </w:p>
          <w:p w14:paraId="3C844C72" w14:textId="43970603" w:rsidR="00913D4E" w:rsidRPr="002E7F18" w:rsidRDefault="00913D4E" w:rsidP="00913D4E">
            <w:pPr>
              <w:pStyle w:val="Prrafodelista"/>
              <w:numPr>
                <w:ilvl w:val="0"/>
                <w:numId w:val="2"/>
              </w:numPr>
              <w:jc w:val="both"/>
              <w:rPr>
                <w:rFonts w:ascii="Arial" w:hAnsi="Arial" w:cs="Arial"/>
                <w:sz w:val="18"/>
                <w:szCs w:val="18"/>
              </w:rPr>
            </w:pPr>
            <w:r w:rsidRPr="002E7F18">
              <w:rPr>
                <w:rFonts w:ascii="Arial" w:hAnsi="Arial" w:cs="Arial"/>
                <w:b/>
                <w:sz w:val="18"/>
                <w:szCs w:val="18"/>
              </w:rPr>
              <w:t>Normas que otorgan competencia para la expedición de la norma:</w:t>
            </w:r>
            <w:r w:rsidRPr="002E7F18">
              <w:rPr>
                <w:sz w:val="18"/>
                <w:szCs w:val="18"/>
              </w:rPr>
              <w:t xml:space="preserve"> </w:t>
            </w:r>
            <w:r w:rsidRPr="002E7F18">
              <w:rPr>
                <w:rFonts w:ascii="Arial" w:hAnsi="Arial" w:cs="Arial"/>
                <w:sz w:val="18"/>
                <w:szCs w:val="18"/>
              </w:rPr>
              <w:t xml:space="preserve">El literal </w:t>
            </w:r>
            <w:r w:rsidR="009601ED" w:rsidRPr="002E7F18">
              <w:rPr>
                <w:rFonts w:ascii="Arial" w:hAnsi="Arial" w:cs="Arial"/>
                <w:sz w:val="18"/>
                <w:szCs w:val="18"/>
              </w:rPr>
              <w:t xml:space="preserve">d) del numeral 2 del artículo 316, el literal </w:t>
            </w:r>
            <w:r w:rsidRPr="002E7F18">
              <w:rPr>
                <w:rFonts w:ascii="Arial" w:hAnsi="Arial" w:cs="Arial"/>
                <w:sz w:val="18"/>
                <w:szCs w:val="18"/>
              </w:rPr>
              <w:t xml:space="preserve">c) del numeral 2 del artículo 318 </w:t>
            </w:r>
            <w:r w:rsidR="009601ED" w:rsidRPr="002E7F18">
              <w:rPr>
                <w:rFonts w:ascii="Arial" w:hAnsi="Arial" w:cs="Arial"/>
                <w:sz w:val="18"/>
                <w:szCs w:val="18"/>
              </w:rPr>
              <w:t xml:space="preserve">y el artículo 323 </w:t>
            </w:r>
            <w:r w:rsidRPr="002E7F18">
              <w:rPr>
                <w:rFonts w:ascii="Arial" w:hAnsi="Arial" w:cs="Arial"/>
                <w:sz w:val="18"/>
                <w:szCs w:val="18"/>
              </w:rPr>
              <w:t>de</w:t>
            </w:r>
            <w:r w:rsidR="009601ED" w:rsidRPr="002E7F18">
              <w:rPr>
                <w:rFonts w:ascii="Arial" w:hAnsi="Arial" w:cs="Arial"/>
                <w:sz w:val="18"/>
                <w:szCs w:val="18"/>
              </w:rPr>
              <w:t>l</w:t>
            </w:r>
            <w:r w:rsidRPr="002E7F18">
              <w:rPr>
                <w:rFonts w:ascii="Arial" w:hAnsi="Arial" w:cs="Arial"/>
                <w:sz w:val="18"/>
                <w:szCs w:val="18"/>
              </w:rPr>
              <w:t xml:space="preserve"> E</w:t>
            </w:r>
            <w:r w:rsidR="00D64187">
              <w:rPr>
                <w:rFonts w:ascii="Arial" w:hAnsi="Arial" w:cs="Arial"/>
                <w:sz w:val="18"/>
                <w:szCs w:val="18"/>
              </w:rPr>
              <w:t xml:space="preserve">statuto </w:t>
            </w:r>
            <w:r w:rsidRPr="002E7F18">
              <w:rPr>
                <w:rFonts w:ascii="Arial" w:hAnsi="Arial" w:cs="Arial"/>
                <w:sz w:val="18"/>
                <w:szCs w:val="18"/>
              </w:rPr>
              <w:t>O</w:t>
            </w:r>
            <w:r w:rsidR="00D64187">
              <w:rPr>
                <w:rFonts w:ascii="Arial" w:hAnsi="Arial" w:cs="Arial"/>
                <w:sz w:val="18"/>
                <w:szCs w:val="18"/>
              </w:rPr>
              <w:t xml:space="preserve">rgánico del </w:t>
            </w:r>
            <w:r w:rsidRPr="002E7F18">
              <w:rPr>
                <w:rFonts w:ascii="Arial" w:hAnsi="Arial" w:cs="Arial"/>
                <w:sz w:val="18"/>
                <w:szCs w:val="18"/>
              </w:rPr>
              <w:t>S</w:t>
            </w:r>
            <w:r w:rsidR="00D64187">
              <w:rPr>
                <w:rFonts w:ascii="Arial" w:hAnsi="Arial" w:cs="Arial"/>
                <w:sz w:val="18"/>
                <w:szCs w:val="18"/>
              </w:rPr>
              <w:t xml:space="preserve">istema </w:t>
            </w:r>
            <w:r w:rsidRPr="002E7F18">
              <w:rPr>
                <w:rFonts w:ascii="Arial" w:hAnsi="Arial" w:cs="Arial"/>
                <w:sz w:val="18"/>
                <w:szCs w:val="18"/>
              </w:rPr>
              <w:t>F</w:t>
            </w:r>
            <w:r w:rsidR="00D64187">
              <w:rPr>
                <w:rFonts w:ascii="Arial" w:hAnsi="Arial" w:cs="Arial"/>
                <w:sz w:val="18"/>
                <w:szCs w:val="18"/>
              </w:rPr>
              <w:t>inanciero</w:t>
            </w:r>
            <w:r w:rsidRPr="002E7F18">
              <w:rPr>
                <w:rFonts w:ascii="Arial" w:hAnsi="Arial" w:cs="Arial"/>
                <w:sz w:val="18"/>
                <w:szCs w:val="18"/>
              </w:rPr>
              <w:t>.</w:t>
            </w:r>
          </w:p>
          <w:p w14:paraId="3A758D80" w14:textId="04BD03E3" w:rsidR="00913D4E" w:rsidRPr="002E7F18" w:rsidRDefault="00913D4E" w:rsidP="00913D4E">
            <w:pPr>
              <w:pStyle w:val="Prrafodelista"/>
              <w:numPr>
                <w:ilvl w:val="0"/>
                <w:numId w:val="2"/>
              </w:numPr>
              <w:jc w:val="both"/>
              <w:rPr>
                <w:rFonts w:ascii="Arial" w:hAnsi="Arial" w:cs="Arial"/>
                <w:sz w:val="18"/>
                <w:szCs w:val="18"/>
              </w:rPr>
            </w:pPr>
            <w:r w:rsidRPr="002E7F18">
              <w:rPr>
                <w:rFonts w:ascii="Arial" w:hAnsi="Arial" w:cs="Arial"/>
                <w:b/>
                <w:sz w:val="18"/>
                <w:szCs w:val="18"/>
              </w:rPr>
              <w:lastRenderedPageBreak/>
              <w:t>Disposiciones derogadas, subrogadas, modificadas, adicionadas o sustituidas:</w:t>
            </w:r>
            <w:r w:rsidRPr="002E7F18">
              <w:rPr>
                <w:rFonts w:ascii="Arial" w:hAnsi="Arial" w:cs="Arial"/>
                <w:sz w:val="18"/>
                <w:szCs w:val="18"/>
              </w:rPr>
              <w:t xml:space="preserve"> </w:t>
            </w:r>
            <w:r w:rsidR="009601ED" w:rsidRPr="002E7F18">
              <w:rPr>
                <w:rFonts w:ascii="Arial" w:hAnsi="Arial" w:cs="Arial"/>
                <w:sz w:val="18"/>
                <w:szCs w:val="18"/>
              </w:rPr>
              <w:t>Las disposiciones de esta Resolución regirán a partir de su publicación y deroga la Resolución 002 de 2024.</w:t>
            </w:r>
          </w:p>
        </w:tc>
      </w:tr>
    </w:tbl>
    <w:p w14:paraId="1AAD48A2" w14:textId="77777777" w:rsidR="00476715" w:rsidRPr="00016CBE" w:rsidRDefault="00476715" w:rsidP="00D15797">
      <w:pPr>
        <w:jc w:val="both"/>
        <w:rPr>
          <w:rFonts w:ascii="Arial" w:hAnsi="Arial" w:cs="Arial"/>
        </w:rPr>
      </w:pPr>
    </w:p>
    <w:sectPr w:rsidR="00476715" w:rsidRPr="00016CBE" w:rsidSect="003C5EE1">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701" w:right="1531" w:bottom="1418" w:left="1418" w:header="1134" w:footer="9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4B91" w14:textId="77777777" w:rsidR="005A01B6" w:rsidRDefault="005A01B6">
      <w:r>
        <w:separator/>
      </w:r>
    </w:p>
  </w:endnote>
  <w:endnote w:type="continuationSeparator" w:id="0">
    <w:p w14:paraId="59854C1E" w14:textId="77777777" w:rsidR="005A01B6" w:rsidRDefault="005A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04B8" w14:textId="77777777" w:rsidR="00883626" w:rsidRDefault="00883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BF17" w14:textId="77777777" w:rsidR="00883626" w:rsidRDefault="00883626" w:rsidP="00883626">
    <w:pPr>
      <w:rPr>
        <w:rFonts w:ascii="Verdana" w:hAnsi="Verdana" w:cs="Arial"/>
        <w:color w:val="808080"/>
        <w:sz w:val="14"/>
        <w:szCs w:val="14"/>
        <w:lang w:eastAsia="es-CO"/>
      </w:rPr>
    </w:pPr>
  </w:p>
  <w:p w14:paraId="1428621A" w14:textId="79F1808F" w:rsidR="00883626" w:rsidRPr="007132E6" w:rsidRDefault="00883626" w:rsidP="00883626">
    <w:pPr>
      <w:rPr>
        <w:rFonts w:ascii="Verdana" w:hAnsi="Verdana" w:cs="Arial"/>
        <w:color w:val="808080"/>
        <w:sz w:val="14"/>
        <w:szCs w:val="14"/>
        <w:lang w:eastAsia="es-CO"/>
      </w:rPr>
    </w:pPr>
    <w:r w:rsidRPr="007132E6">
      <w:rPr>
        <w:rFonts w:ascii="Verdana" w:hAnsi="Verdana" w:cs="Arial"/>
        <w:color w:val="808080"/>
        <w:sz w:val="14"/>
        <w:szCs w:val="14"/>
        <w:lang w:eastAsia="es-CO"/>
      </w:rPr>
      <w:t>Dirección: Carrera 7 # 35 – 40, Bogotá D.C. Colombia</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EE16B8">
      <w:rPr>
        <w:rFonts w:ascii="Verdana" w:hAnsi="Verdana" w:cs="Arial"/>
        <w:color w:val="808080"/>
        <w:sz w:val="14"/>
        <w:szCs w:val="14"/>
        <w:lang w:eastAsia="es-CO"/>
      </w:rPr>
      <w:t xml:space="preserve">Página </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PAGE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1</w:t>
    </w:r>
    <w:r w:rsidRPr="00EE16B8">
      <w:rPr>
        <w:rFonts w:ascii="Verdana" w:hAnsi="Verdana" w:cs="Arial"/>
        <w:color w:val="808080"/>
        <w:sz w:val="14"/>
        <w:szCs w:val="14"/>
        <w:lang w:eastAsia="es-CO"/>
      </w:rPr>
      <w:fldChar w:fldCharType="end"/>
    </w:r>
    <w:r w:rsidRPr="00EE16B8">
      <w:rPr>
        <w:rFonts w:ascii="Verdana" w:hAnsi="Verdana" w:cs="Arial"/>
        <w:color w:val="808080"/>
        <w:sz w:val="14"/>
        <w:szCs w:val="14"/>
        <w:lang w:eastAsia="es-CO"/>
      </w:rPr>
      <w:t>/</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NUMPAGES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3</w:t>
    </w:r>
    <w:r w:rsidRPr="00EE16B8">
      <w:rPr>
        <w:rFonts w:ascii="Verdana" w:hAnsi="Verdana" w:cs="Arial"/>
        <w:color w:val="808080"/>
        <w:sz w:val="14"/>
        <w:szCs w:val="14"/>
        <w:lang w:eastAsia="es-CO"/>
      </w:rPr>
      <w:fldChar w:fldCharType="end"/>
    </w:r>
  </w:p>
  <w:p w14:paraId="6C484C35" w14:textId="4EC51633" w:rsidR="00883626" w:rsidRPr="007132E6" w:rsidRDefault="00883626" w:rsidP="00883626">
    <w:pPr>
      <w:rPr>
        <w:rFonts w:ascii="Verdana" w:hAnsi="Verdana" w:cs="Arial"/>
        <w:color w:val="808080"/>
        <w:sz w:val="14"/>
        <w:szCs w:val="14"/>
        <w:lang w:eastAsia="es-CO"/>
      </w:rPr>
    </w:pPr>
    <w:r w:rsidRPr="007132E6">
      <w:rPr>
        <w:rFonts w:ascii="Verdana" w:hAnsi="Verdana" w:cs="Arial"/>
        <w:color w:val="808080"/>
        <w:sz w:val="14"/>
        <w:szCs w:val="14"/>
        <w:lang w:eastAsia="es-CO"/>
      </w:rPr>
      <w:t xml:space="preserve">Conmutador: +57 </w:t>
    </w:r>
    <w:r w:rsidRPr="003403A7">
      <w:rPr>
        <w:rFonts w:ascii="Verdana" w:hAnsi="Verdana" w:cs="Arial"/>
        <w:color w:val="808080"/>
        <w:sz w:val="14"/>
        <w:szCs w:val="14"/>
        <w:lang w:eastAsia="es-CO"/>
      </w:rPr>
      <w:t>(601) 4321370</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7132E6">
      <w:rPr>
        <w:rFonts w:ascii="Verdana" w:hAnsi="Verdana" w:cs="Arial"/>
        <w:color w:val="808080"/>
        <w:sz w:val="14"/>
        <w:szCs w:val="14"/>
        <w:lang w:eastAsia="es-CO"/>
      </w:rPr>
      <w:t>Versión</w:t>
    </w:r>
    <w:r>
      <w:rPr>
        <w:rFonts w:ascii="Verdana" w:hAnsi="Verdana" w:cs="Arial"/>
        <w:color w:val="808080"/>
        <w:sz w:val="14"/>
        <w:szCs w:val="14"/>
        <w:lang w:eastAsia="es-CO"/>
      </w:rPr>
      <w:t>: 10.4</w:t>
    </w:r>
  </w:p>
  <w:p w14:paraId="2CA07DC3" w14:textId="1DE49FB0" w:rsidR="00883626" w:rsidRDefault="00883626" w:rsidP="00883626">
    <w:pPr>
      <w:ind w:left="10348"/>
      <w:rPr>
        <w:rFonts w:ascii="Verdana" w:hAnsi="Verdana" w:cs="Arial"/>
        <w:color w:val="808080"/>
        <w:sz w:val="14"/>
        <w:szCs w:val="14"/>
        <w:lang w:eastAsia="es-CO"/>
      </w:rPr>
    </w:pPr>
    <w:r w:rsidRPr="007132E6">
      <w:rPr>
        <w:rFonts w:ascii="Verdana" w:hAnsi="Verdana" w:cs="Arial"/>
        <w:color w:val="808080"/>
        <w:sz w:val="14"/>
        <w:szCs w:val="14"/>
        <w:lang w:eastAsia="es-CO"/>
      </w:rPr>
      <w:t>Fecha</w:t>
    </w:r>
    <w:r>
      <w:rPr>
        <w:rFonts w:ascii="Verdana" w:hAnsi="Verdana" w:cs="Arial"/>
        <w:color w:val="808080"/>
        <w:sz w:val="14"/>
        <w:szCs w:val="14"/>
        <w:lang w:eastAsia="es-CO"/>
      </w:rPr>
      <w:t xml:space="preserve"> de aprobación</w:t>
    </w:r>
    <w:r w:rsidRPr="007132E6">
      <w:rPr>
        <w:rFonts w:ascii="Verdana" w:hAnsi="Verdana" w:cs="Arial"/>
        <w:color w:val="808080"/>
        <w:sz w:val="14"/>
        <w:szCs w:val="14"/>
        <w:lang w:eastAsia="es-CO"/>
      </w:rPr>
      <w:t>:</w:t>
    </w:r>
    <w:r>
      <w:rPr>
        <w:rFonts w:ascii="Verdana" w:hAnsi="Verdana" w:cs="Arial"/>
        <w:color w:val="808080"/>
        <w:sz w:val="14"/>
        <w:szCs w:val="14"/>
        <w:lang w:eastAsia="es-CO"/>
      </w:rPr>
      <w:t xml:space="preserve"> 24/02/2025</w:t>
    </w:r>
  </w:p>
  <w:p w14:paraId="24055E4F" w14:textId="436529ED" w:rsidR="00883626" w:rsidRPr="00EE16B8" w:rsidRDefault="00883626" w:rsidP="00883626">
    <w:pPr>
      <w:ind w:left="3544"/>
      <w:rPr>
        <w:rFonts w:ascii="Verdana" w:hAnsi="Verdana" w:cs="Arial"/>
        <w:color w:val="808080"/>
        <w:sz w:val="14"/>
        <w:szCs w:val="14"/>
        <w:lang w:eastAsia="es-CO"/>
      </w:rPr>
    </w:pPr>
    <w:r>
      <w:rPr>
        <w:rFonts w:ascii="Verdana" w:hAnsi="Verdana" w:cs="Arial"/>
        <w:color w:val="808080"/>
        <w:sz w:val="14"/>
        <w:szCs w:val="14"/>
        <w:lang w:eastAsia="es-CO"/>
      </w:rPr>
      <w:t xml:space="preserve">                                                                                                                                          Fecha de vigencia: 24/02/2025</w:t>
    </w:r>
  </w:p>
  <w:p w14:paraId="7CFFC693" w14:textId="77777777" w:rsidR="00883626" w:rsidRPr="00E51BD9" w:rsidRDefault="00883626" w:rsidP="00883626">
    <w:pPr>
      <w:tabs>
        <w:tab w:val="right" w:pos="8910"/>
      </w:tabs>
      <w:rPr>
        <w:rFonts w:ascii="Arial" w:hAnsi="Arial"/>
        <w:color w:val="808080"/>
        <w:sz w:val="14"/>
        <w:szCs w:val="14"/>
        <w:lang w:eastAsia="es-CO"/>
      </w:rPr>
    </w:pPr>
    <w:r>
      <w:rPr>
        <w:rFonts w:ascii="Arial" w:hAnsi="Arial"/>
        <w:color w:val="808080"/>
        <w:sz w:val="14"/>
        <w:szCs w:val="14"/>
        <w:lang w:eastAsia="es-CO"/>
      </w:rPr>
      <w:t xml:space="preserve"> </w:t>
    </w:r>
  </w:p>
  <w:p w14:paraId="73A5F639" w14:textId="655F73A3" w:rsidR="00A209A4" w:rsidRPr="005F44F9" w:rsidRDefault="00A209A4" w:rsidP="00883626">
    <w:pPr>
      <w:pStyle w:val="Piedepgina"/>
      <w:rPr>
        <w:rFonts w:ascii="Arial" w:hAnsi="Arial" w:cs="Arial"/>
        <w:sz w:val="20"/>
        <w:szCs w:val="20"/>
        <w:lang w:val="pt-BR"/>
      </w:rPr>
    </w:pPr>
    <w:r w:rsidRPr="005F44F9">
      <w:rPr>
        <w:rFonts w:ascii="Arial" w:hAnsi="Arial" w:cs="Arial"/>
        <w:sz w:val="20"/>
        <w:szCs w:val="20"/>
        <w:lang w:val="pt-B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BAA" w14:textId="77777777" w:rsidR="00883626" w:rsidRDefault="00883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0A1F" w14:textId="77777777" w:rsidR="005A01B6" w:rsidRDefault="005A01B6">
      <w:r>
        <w:separator/>
      </w:r>
    </w:p>
  </w:footnote>
  <w:footnote w:type="continuationSeparator" w:id="0">
    <w:p w14:paraId="1F0F4DC4" w14:textId="77777777" w:rsidR="005A01B6" w:rsidRDefault="005A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6955" w14:textId="77777777" w:rsidR="00883626" w:rsidRDefault="008836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62D6" w14:textId="257D1582" w:rsidR="00A209A4" w:rsidRDefault="00883626" w:rsidP="00883626">
    <w:pPr>
      <w:pStyle w:val="Encabezado"/>
      <w:jc w:val="center"/>
    </w:pPr>
    <w:r w:rsidRPr="00125EDB">
      <w:rPr>
        <w:noProof/>
      </w:rPr>
      <w:drawing>
        <wp:inline distT="0" distB="0" distL="0" distR="0" wp14:anchorId="33F3F74E" wp14:editId="3163361E">
          <wp:extent cx="3895725" cy="895350"/>
          <wp:effectExtent l="0" t="0" r="9525" b="0"/>
          <wp:docPr id="2126755741"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895350"/>
                  </a:xfrm>
                  <a:prstGeom prst="rect">
                    <a:avLst/>
                  </a:prstGeom>
                  <a:noFill/>
                  <a:ln>
                    <a:noFill/>
                  </a:ln>
                </pic:spPr>
              </pic:pic>
            </a:graphicData>
          </a:graphic>
        </wp:inline>
      </w:drawing>
    </w:r>
  </w:p>
  <w:p w14:paraId="344565CF" w14:textId="77777777" w:rsidR="00883626" w:rsidRDefault="00883626" w:rsidP="00883626">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FB3A" w14:textId="77777777" w:rsidR="00883626" w:rsidRDefault="008836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D453F"/>
    <w:multiLevelType w:val="hybridMultilevel"/>
    <w:tmpl w:val="19FC58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7C3C34"/>
    <w:multiLevelType w:val="hybridMultilevel"/>
    <w:tmpl w:val="0840010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26701364">
    <w:abstractNumId w:val="1"/>
  </w:num>
  <w:num w:numId="2" w16cid:durableId="131618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14A69"/>
    <w:rsid w:val="00016CBE"/>
    <w:rsid w:val="00073126"/>
    <w:rsid w:val="0007325B"/>
    <w:rsid w:val="000772EF"/>
    <w:rsid w:val="000938A8"/>
    <w:rsid w:val="00095FF5"/>
    <w:rsid w:val="000B07D5"/>
    <w:rsid w:val="000C54E8"/>
    <w:rsid w:val="000D7315"/>
    <w:rsid w:val="000E2A6D"/>
    <w:rsid w:val="000E6FE4"/>
    <w:rsid w:val="000F6342"/>
    <w:rsid w:val="000F7763"/>
    <w:rsid w:val="0010422B"/>
    <w:rsid w:val="001163CD"/>
    <w:rsid w:val="00123142"/>
    <w:rsid w:val="00141E63"/>
    <w:rsid w:val="00143326"/>
    <w:rsid w:val="00185533"/>
    <w:rsid w:val="00193F53"/>
    <w:rsid w:val="001B3614"/>
    <w:rsid w:val="001D1882"/>
    <w:rsid w:val="001E7CFF"/>
    <w:rsid w:val="001F790A"/>
    <w:rsid w:val="00222013"/>
    <w:rsid w:val="00230925"/>
    <w:rsid w:val="00237430"/>
    <w:rsid w:val="00241959"/>
    <w:rsid w:val="00265CB9"/>
    <w:rsid w:val="00277043"/>
    <w:rsid w:val="002946F1"/>
    <w:rsid w:val="00297313"/>
    <w:rsid w:val="002A0DD1"/>
    <w:rsid w:val="002A7F3A"/>
    <w:rsid w:val="002D4A8D"/>
    <w:rsid w:val="002E7F18"/>
    <w:rsid w:val="002F6402"/>
    <w:rsid w:val="0031098A"/>
    <w:rsid w:val="0031688B"/>
    <w:rsid w:val="00324C1C"/>
    <w:rsid w:val="00326610"/>
    <w:rsid w:val="00341312"/>
    <w:rsid w:val="003636B0"/>
    <w:rsid w:val="0038117F"/>
    <w:rsid w:val="00386D15"/>
    <w:rsid w:val="00391802"/>
    <w:rsid w:val="003924C9"/>
    <w:rsid w:val="003973FA"/>
    <w:rsid w:val="003A137B"/>
    <w:rsid w:val="003C5EE1"/>
    <w:rsid w:val="003D0F36"/>
    <w:rsid w:val="003E7B24"/>
    <w:rsid w:val="003F069E"/>
    <w:rsid w:val="003F3155"/>
    <w:rsid w:val="00402F37"/>
    <w:rsid w:val="00416BFB"/>
    <w:rsid w:val="00433B31"/>
    <w:rsid w:val="00436A68"/>
    <w:rsid w:val="0046219C"/>
    <w:rsid w:val="0047404C"/>
    <w:rsid w:val="0047628E"/>
    <w:rsid w:val="00476715"/>
    <w:rsid w:val="00495454"/>
    <w:rsid w:val="004A5C9C"/>
    <w:rsid w:val="004B332F"/>
    <w:rsid w:val="004B6E54"/>
    <w:rsid w:val="004C06DC"/>
    <w:rsid w:val="004C3BFF"/>
    <w:rsid w:val="004D6CCE"/>
    <w:rsid w:val="004E035E"/>
    <w:rsid w:val="004E5992"/>
    <w:rsid w:val="004F33E5"/>
    <w:rsid w:val="005123EE"/>
    <w:rsid w:val="00512583"/>
    <w:rsid w:val="00531DAC"/>
    <w:rsid w:val="005439C5"/>
    <w:rsid w:val="0055500C"/>
    <w:rsid w:val="0057445D"/>
    <w:rsid w:val="00580AB7"/>
    <w:rsid w:val="0058243C"/>
    <w:rsid w:val="005849E1"/>
    <w:rsid w:val="005A01B6"/>
    <w:rsid w:val="005A2148"/>
    <w:rsid w:val="005A5BC4"/>
    <w:rsid w:val="005A6CDA"/>
    <w:rsid w:val="005C21E3"/>
    <w:rsid w:val="005E4483"/>
    <w:rsid w:val="005F44F9"/>
    <w:rsid w:val="005F7AAF"/>
    <w:rsid w:val="00600A97"/>
    <w:rsid w:val="00611091"/>
    <w:rsid w:val="0061427E"/>
    <w:rsid w:val="0062157E"/>
    <w:rsid w:val="00627497"/>
    <w:rsid w:val="00641C2E"/>
    <w:rsid w:val="00644B03"/>
    <w:rsid w:val="00644B56"/>
    <w:rsid w:val="006522DC"/>
    <w:rsid w:val="006646E6"/>
    <w:rsid w:val="00664C89"/>
    <w:rsid w:val="00667F7B"/>
    <w:rsid w:val="006761FB"/>
    <w:rsid w:val="0067735D"/>
    <w:rsid w:val="00681F70"/>
    <w:rsid w:val="006C7118"/>
    <w:rsid w:val="006E0890"/>
    <w:rsid w:val="006F695C"/>
    <w:rsid w:val="006F722D"/>
    <w:rsid w:val="00713445"/>
    <w:rsid w:val="0072586C"/>
    <w:rsid w:val="007277E9"/>
    <w:rsid w:val="00727B4C"/>
    <w:rsid w:val="00734A1A"/>
    <w:rsid w:val="00735161"/>
    <w:rsid w:val="00744DE2"/>
    <w:rsid w:val="00770257"/>
    <w:rsid w:val="00773771"/>
    <w:rsid w:val="00785EF4"/>
    <w:rsid w:val="007B5FD2"/>
    <w:rsid w:val="007C36C9"/>
    <w:rsid w:val="007C3E2E"/>
    <w:rsid w:val="007D1BA0"/>
    <w:rsid w:val="007D7658"/>
    <w:rsid w:val="007E30AF"/>
    <w:rsid w:val="007F5F25"/>
    <w:rsid w:val="008008A1"/>
    <w:rsid w:val="00830950"/>
    <w:rsid w:val="00846EB3"/>
    <w:rsid w:val="00853BC0"/>
    <w:rsid w:val="00854F4C"/>
    <w:rsid w:val="0088189D"/>
    <w:rsid w:val="00883626"/>
    <w:rsid w:val="00885935"/>
    <w:rsid w:val="008A456D"/>
    <w:rsid w:val="008C3E4E"/>
    <w:rsid w:val="008C6BAB"/>
    <w:rsid w:val="00905B65"/>
    <w:rsid w:val="00913D4E"/>
    <w:rsid w:val="009143C5"/>
    <w:rsid w:val="009359B7"/>
    <w:rsid w:val="009451BD"/>
    <w:rsid w:val="0094579D"/>
    <w:rsid w:val="00951758"/>
    <w:rsid w:val="00953EBD"/>
    <w:rsid w:val="009601ED"/>
    <w:rsid w:val="00976C9B"/>
    <w:rsid w:val="00985C73"/>
    <w:rsid w:val="00990B9A"/>
    <w:rsid w:val="009946A7"/>
    <w:rsid w:val="009C38EC"/>
    <w:rsid w:val="009E30D9"/>
    <w:rsid w:val="009F352D"/>
    <w:rsid w:val="009F3B86"/>
    <w:rsid w:val="009F5F74"/>
    <w:rsid w:val="00A156E8"/>
    <w:rsid w:val="00A16B7D"/>
    <w:rsid w:val="00A209A4"/>
    <w:rsid w:val="00A24694"/>
    <w:rsid w:val="00A325EE"/>
    <w:rsid w:val="00A56AB7"/>
    <w:rsid w:val="00AA4EBD"/>
    <w:rsid w:val="00AA5C47"/>
    <w:rsid w:val="00AB4879"/>
    <w:rsid w:val="00AC5C3A"/>
    <w:rsid w:val="00AE00C0"/>
    <w:rsid w:val="00B76EE8"/>
    <w:rsid w:val="00B95E58"/>
    <w:rsid w:val="00BB0675"/>
    <w:rsid w:val="00BC506F"/>
    <w:rsid w:val="00BD229D"/>
    <w:rsid w:val="00BD4165"/>
    <w:rsid w:val="00BD7D77"/>
    <w:rsid w:val="00BE62EF"/>
    <w:rsid w:val="00C22D08"/>
    <w:rsid w:val="00C42728"/>
    <w:rsid w:val="00C550F0"/>
    <w:rsid w:val="00C62387"/>
    <w:rsid w:val="00C65588"/>
    <w:rsid w:val="00C86B40"/>
    <w:rsid w:val="00C90F1B"/>
    <w:rsid w:val="00C93D1F"/>
    <w:rsid w:val="00C96A71"/>
    <w:rsid w:val="00CB0938"/>
    <w:rsid w:val="00CB3D4B"/>
    <w:rsid w:val="00CB5945"/>
    <w:rsid w:val="00CD5F0C"/>
    <w:rsid w:val="00CE33B8"/>
    <w:rsid w:val="00CE5678"/>
    <w:rsid w:val="00CF39C4"/>
    <w:rsid w:val="00D00148"/>
    <w:rsid w:val="00D15797"/>
    <w:rsid w:val="00D475A0"/>
    <w:rsid w:val="00D60928"/>
    <w:rsid w:val="00D63F62"/>
    <w:rsid w:val="00D64187"/>
    <w:rsid w:val="00D7782A"/>
    <w:rsid w:val="00D911F4"/>
    <w:rsid w:val="00DA0153"/>
    <w:rsid w:val="00DA660A"/>
    <w:rsid w:val="00DC406E"/>
    <w:rsid w:val="00DD13DC"/>
    <w:rsid w:val="00DD1B99"/>
    <w:rsid w:val="00DF5968"/>
    <w:rsid w:val="00E01465"/>
    <w:rsid w:val="00E21865"/>
    <w:rsid w:val="00E3047E"/>
    <w:rsid w:val="00E52C60"/>
    <w:rsid w:val="00E65608"/>
    <w:rsid w:val="00E76133"/>
    <w:rsid w:val="00EB0494"/>
    <w:rsid w:val="00ED3F3E"/>
    <w:rsid w:val="00ED5888"/>
    <w:rsid w:val="00EE6098"/>
    <w:rsid w:val="00EE69C3"/>
    <w:rsid w:val="00EF0365"/>
    <w:rsid w:val="00EF49AB"/>
    <w:rsid w:val="00EF618A"/>
    <w:rsid w:val="00F07ADC"/>
    <w:rsid w:val="00F11E2A"/>
    <w:rsid w:val="00F13193"/>
    <w:rsid w:val="00F32178"/>
    <w:rsid w:val="00F622A2"/>
    <w:rsid w:val="00F65011"/>
    <w:rsid w:val="00F865EE"/>
    <w:rsid w:val="00F872B8"/>
    <w:rsid w:val="00FB063C"/>
    <w:rsid w:val="00FB1066"/>
    <w:rsid w:val="00FD0373"/>
    <w:rsid w:val="00FE5DE0"/>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0835F"/>
  <w15:docId w15:val="{A40E6CA9-C0E8-4483-B765-3E6833FE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paragraph" w:styleId="Textodeglobo">
    <w:name w:val="Balloon Text"/>
    <w:basedOn w:val="Normal"/>
    <w:link w:val="TextodegloboCar"/>
    <w:rsid w:val="00A325EE"/>
    <w:rPr>
      <w:rFonts w:ascii="Segoe UI" w:hAnsi="Segoe UI" w:cs="Segoe UI"/>
      <w:sz w:val="18"/>
      <w:szCs w:val="18"/>
    </w:rPr>
  </w:style>
  <w:style w:type="character" w:customStyle="1" w:styleId="TextodegloboCar">
    <w:name w:val="Texto de globo Car"/>
    <w:link w:val="Textodeglobo"/>
    <w:rsid w:val="00A325EE"/>
    <w:rPr>
      <w:rFonts w:ascii="Segoe UI" w:hAnsi="Segoe UI" w:cs="Segoe UI"/>
      <w:sz w:val="18"/>
      <w:szCs w:val="18"/>
      <w:lang w:val="es-ES" w:eastAsia="es-ES"/>
    </w:rPr>
  </w:style>
  <w:style w:type="paragraph" w:styleId="Prrafodelista">
    <w:name w:val="List Paragraph"/>
    <w:basedOn w:val="Normal"/>
    <w:uiPriority w:val="34"/>
    <w:qFormat/>
    <w:rsid w:val="0047628E"/>
    <w:pPr>
      <w:ind w:left="720"/>
      <w:contextualSpacing/>
    </w:pPr>
  </w:style>
  <w:style w:type="paragraph" w:styleId="Textoindependiente">
    <w:name w:val="Body Text"/>
    <w:basedOn w:val="Normal"/>
    <w:link w:val="TextoindependienteCar"/>
    <w:unhideWhenUsed/>
    <w:rsid w:val="000D7315"/>
    <w:pPr>
      <w:jc w:val="both"/>
    </w:pPr>
    <w:rPr>
      <w:rFonts w:ascii="Arial" w:hAnsi="Arial" w:cs="Arial"/>
      <w:lang w:val="es-CO"/>
    </w:rPr>
  </w:style>
  <w:style w:type="character" w:customStyle="1" w:styleId="TextoindependienteCar">
    <w:name w:val="Texto independiente Car"/>
    <w:basedOn w:val="Fuentedeprrafopredeter"/>
    <w:link w:val="Textoindependiente"/>
    <w:rsid w:val="000D7315"/>
    <w:rPr>
      <w:rFonts w:ascii="Arial" w:hAnsi="Arial" w:cs="Arial"/>
      <w:sz w:val="24"/>
      <w:szCs w:val="24"/>
      <w:lang w:eastAsia="es-ES"/>
    </w:rPr>
  </w:style>
  <w:style w:type="paragraph" w:customStyle="1" w:styleId="Default">
    <w:name w:val="Default"/>
    <w:rsid w:val="006773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4745">
      <w:bodyDiv w:val="1"/>
      <w:marLeft w:val="0"/>
      <w:marRight w:val="0"/>
      <w:marTop w:val="0"/>
      <w:marBottom w:val="0"/>
      <w:divBdr>
        <w:top w:val="none" w:sz="0" w:space="0" w:color="auto"/>
        <w:left w:val="none" w:sz="0" w:space="0" w:color="auto"/>
        <w:bottom w:val="none" w:sz="0" w:space="0" w:color="auto"/>
        <w:right w:val="none" w:sz="0" w:space="0" w:color="auto"/>
      </w:divBdr>
    </w:div>
    <w:div w:id="656112787">
      <w:bodyDiv w:val="1"/>
      <w:marLeft w:val="0"/>
      <w:marRight w:val="0"/>
      <w:marTop w:val="0"/>
      <w:marBottom w:val="0"/>
      <w:divBdr>
        <w:top w:val="none" w:sz="0" w:space="0" w:color="auto"/>
        <w:left w:val="none" w:sz="0" w:space="0" w:color="auto"/>
        <w:bottom w:val="none" w:sz="0" w:space="0" w:color="auto"/>
        <w:right w:val="none" w:sz="0" w:space="0" w:color="auto"/>
      </w:divBdr>
    </w:div>
    <w:div w:id="1239050251">
      <w:bodyDiv w:val="1"/>
      <w:marLeft w:val="0"/>
      <w:marRight w:val="0"/>
      <w:marTop w:val="0"/>
      <w:marBottom w:val="0"/>
      <w:divBdr>
        <w:top w:val="none" w:sz="0" w:space="0" w:color="auto"/>
        <w:left w:val="none" w:sz="0" w:space="0" w:color="auto"/>
        <w:bottom w:val="none" w:sz="0" w:space="0" w:color="auto"/>
        <w:right w:val="none" w:sz="0" w:space="0" w:color="auto"/>
      </w:divBdr>
    </w:div>
    <w:div w:id="1439057363">
      <w:bodyDiv w:val="1"/>
      <w:marLeft w:val="0"/>
      <w:marRight w:val="0"/>
      <w:marTop w:val="0"/>
      <w:marBottom w:val="0"/>
      <w:divBdr>
        <w:top w:val="none" w:sz="0" w:space="0" w:color="auto"/>
        <w:left w:val="none" w:sz="0" w:space="0" w:color="auto"/>
        <w:bottom w:val="none" w:sz="0" w:space="0" w:color="auto"/>
        <w:right w:val="none" w:sz="0" w:space="0" w:color="auto"/>
      </w:divBdr>
    </w:div>
    <w:div w:id="195166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8EF84-5937-45B3-8863-2BE06495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CIRCULAR INTERNA</vt:lpstr>
    </vt:vector>
  </TitlesOfParts>
  <Company>INDTITUCIONES FINANCIERAS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INTERNA</dc:title>
  <dc:creator>FONDO DE GARANTIAS DE</dc:creator>
  <cp:lastModifiedBy>Fondo de Garantías de Instituciones Financieras </cp:lastModifiedBy>
  <cp:revision>3</cp:revision>
  <cp:lastPrinted>2017-08-17T20:22:00Z</cp:lastPrinted>
  <dcterms:created xsi:type="dcterms:W3CDTF">2026-06-04T12:22:00Z</dcterms:created>
  <dcterms:modified xsi:type="dcterms:W3CDTF">2026-06-04T12:27:00Z</dcterms:modified>
</cp:coreProperties>
</file>