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877B" w14:textId="2D86CBA8" w:rsidR="001766AF" w:rsidRDefault="009E186E" w:rsidP="00A7004D">
      <w:pPr>
        <w:tabs>
          <w:tab w:val="center" w:pos="7190"/>
        </w:tabs>
        <w:spacing w:line="259" w:lineRule="auto"/>
        <w:ind w:left="0" w:firstLine="0"/>
      </w:pPr>
      <w:r>
        <w:rPr>
          <w:rFonts w:ascii="Times New Roman" w:eastAsia="Times New Roman" w:hAnsi="Times New Roman" w:cs="Times New Roman"/>
        </w:rPr>
        <w:tab/>
        <w:t xml:space="preserve"> </w:t>
      </w:r>
    </w:p>
    <w:p w14:paraId="48845CAA" w14:textId="77777777" w:rsidR="001766AF" w:rsidRDefault="009E186E">
      <w:pPr>
        <w:spacing w:line="259" w:lineRule="auto"/>
        <w:ind w:left="190" w:firstLine="0"/>
        <w:jc w:val="center"/>
      </w:pPr>
      <w:r>
        <w:rPr>
          <w:b/>
          <w:sz w:val="25"/>
        </w:rPr>
        <w:t xml:space="preserve"> </w:t>
      </w:r>
    </w:p>
    <w:p w14:paraId="18E3BD94" w14:textId="77777777" w:rsidR="001766AF" w:rsidRDefault="009E186E">
      <w:pPr>
        <w:spacing w:line="259" w:lineRule="auto"/>
        <w:ind w:left="190" w:firstLine="0"/>
        <w:jc w:val="center"/>
      </w:pPr>
      <w:r>
        <w:rPr>
          <w:b/>
          <w:sz w:val="25"/>
        </w:rPr>
        <w:t xml:space="preserve"> </w:t>
      </w:r>
    </w:p>
    <w:p w14:paraId="0CDCD61C" w14:textId="77777777" w:rsidR="00AC4767" w:rsidRDefault="00AC4767" w:rsidP="00AC4767">
      <w:pPr>
        <w:jc w:val="center"/>
        <w:rPr>
          <w:b/>
        </w:rPr>
      </w:pPr>
      <w:r>
        <w:rPr>
          <w:b/>
        </w:rPr>
        <w:t>INFORME GLOBAL DE COMENTARIOS</w:t>
      </w:r>
    </w:p>
    <w:p w14:paraId="0F0EA526" w14:textId="77777777" w:rsidR="00AC4767" w:rsidRDefault="00AC4767" w:rsidP="00AC4767">
      <w:pPr>
        <w:jc w:val="center"/>
        <w:rPr>
          <w:b/>
        </w:rPr>
      </w:pPr>
      <w:r>
        <w:rPr>
          <w:b/>
        </w:rPr>
        <w:t>PROYECTO DE NORMATIVIDAD</w:t>
      </w:r>
    </w:p>
    <w:p w14:paraId="3FE26664" w14:textId="77777777" w:rsidR="00AC4767" w:rsidRDefault="00AC4767" w:rsidP="00AC4767">
      <w:pPr>
        <w:jc w:val="center"/>
        <w:rPr>
          <w:b/>
        </w:rPr>
      </w:pPr>
    </w:p>
    <w:tbl>
      <w:tblPr>
        <w:tblStyle w:val="Tablaconcuadrcula"/>
        <w:tblW w:w="17998" w:type="dxa"/>
        <w:tblLayout w:type="fixed"/>
        <w:tblLook w:val="04A0" w:firstRow="1" w:lastRow="0" w:firstColumn="1" w:lastColumn="0" w:noHBand="0" w:noVBand="1"/>
      </w:tblPr>
      <w:tblGrid>
        <w:gridCol w:w="1832"/>
        <w:gridCol w:w="3183"/>
        <w:gridCol w:w="996"/>
        <w:gridCol w:w="1035"/>
        <w:gridCol w:w="3297"/>
        <w:gridCol w:w="2977"/>
        <w:gridCol w:w="4678"/>
      </w:tblGrid>
      <w:tr w:rsidR="00AC4767" w14:paraId="6F2EEB40" w14:textId="77777777" w:rsidTr="00F15C11">
        <w:tc>
          <w:tcPr>
            <w:tcW w:w="1832" w:type="dxa"/>
            <w:vMerge w:val="restart"/>
            <w:tcBorders>
              <w:top w:val="single" w:sz="4" w:space="0" w:color="auto"/>
              <w:left w:val="single" w:sz="4" w:space="0" w:color="auto"/>
              <w:bottom w:val="single" w:sz="4" w:space="0" w:color="auto"/>
              <w:right w:val="single" w:sz="4" w:space="0" w:color="auto"/>
            </w:tcBorders>
          </w:tcPr>
          <w:p w14:paraId="6B7EDE05" w14:textId="77777777" w:rsidR="00AC4767" w:rsidRPr="00AF3BE0" w:rsidRDefault="00AC4767" w:rsidP="00CD7884">
            <w:pPr>
              <w:rPr>
                <w:b/>
                <w:sz w:val="20"/>
                <w:szCs w:val="20"/>
              </w:rPr>
            </w:pPr>
          </w:p>
          <w:p w14:paraId="7D1861E5" w14:textId="77777777" w:rsidR="00AC4767" w:rsidRPr="00AF3BE0" w:rsidRDefault="00AC4767" w:rsidP="00CD7884">
            <w:pPr>
              <w:jc w:val="center"/>
              <w:rPr>
                <w:b/>
                <w:sz w:val="20"/>
                <w:szCs w:val="20"/>
              </w:rPr>
            </w:pPr>
            <w:r w:rsidRPr="00AF3BE0">
              <w:rPr>
                <w:b/>
                <w:sz w:val="20"/>
                <w:szCs w:val="20"/>
              </w:rPr>
              <w:t>Norma</w:t>
            </w:r>
          </w:p>
        </w:tc>
        <w:tc>
          <w:tcPr>
            <w:tcW w:w="3183" w:type="dxa"/>
            <w:vMerge w:val="restart"/>
            <w:tcBorders>
              <w:top w:val="single" w:sz="4" w:space="0" w:color="auto"/>
              <w:left w:val="single" w:sz="4" w:space="0" w:color="auto"/>
              <w:bottom w:val="single" w:sz="4" w:space="0" w:color="auto"/>
              <w:right w:val="single" w:sz="4" w:space="0" w:color="auto"/>
            </w:tcBorders>
          </w:tcPr>
          <w:p w14:paraId="2B70869A" w14:textId="77777777" w:rsidR="00AC4767" w:rsidRPr="00AF3BE0" w:rsidRDefault="00AC4767" w:rsidP="00CD7884">
            <w:pPr>
              <w:rPr>
                <w:b/>
                <w:sz w:val="20"/>
                <w:szCs w:val="20"/>
              </w:rPr>
            </w:pPr>
          </w:p>
          <w:p w14:paraId="16E897E4" w14:textId="77777777" w:rsidR="00AC4767" w:rsidRPr="00AF3BE0" w:rsidRDefault="00AC4767" w:rsidP="00CD7884">
            <w:pPr>
              <w:jc w:val="center"/>
              <w:rPr>
                <w:b/>
                <w:sz w:val="20"/>
                <w:szCs w:val="20"/>
              </w:rPr>
            </w:pPr>
            <w:r w:rsidRPr="00AF3BE0">
              <w:rPr>
                <w:b/>
                <w:sz w:val="20"/>
                <w:szCs w:val="20"/>
              </w:rPr>
              <w:t>Objeto</w:t>
            </w:r>
          </w:p>
        </w:tc>
        <w:tc>
          <w:tcPr>
            <w:tcW w:w="2031" w:type="dxa"/>
            <w:gridSpan w:val="2"/>
            <w:tcBorders>
              <w:top w:val="single" w:sz="4" w:space="0" w:color="auto"/>
              <w:left w:val="single" w:sz="4" w:space="0" w:color="auto"/>
              <w:bottom w:val="single" w:sz="4" w:space="0" w:color="auto"/>
              <w:right w:val="single" w:sz="4" w:space="0" w:color="auto"/>
            </w:tcBorders>
            <w:hideMark/>
          </w:tcPr>
          <w:p w14:paraId="7417C66A" w14:textId="77777777" w:rsidR="00AC4767" w:rsidRPr="00AF3BE0" w:rsidRDefault="00AC4767" w:rsidP="00CD7884">
            <w:pPr>
              <w:jc w:val="center"/>
              <w:rPr>
                <w:b/>
                <w:sz w:val="20"/>
                <w:szCs w:val="20"/>
              </w:rPr>
            </w:pPr>
            <w:r w:rsidRPr="00AF3BE0">
              <w:rPr>
                <w:b/>
                <w:sz w:val="20"/>
                <w:szCs w:val="20"/>
              </w:rPr>
              <w:t>Publicación</w:t>
            </w:r>
          </w:p>
        </w:tc>
        <w:tc>
          <w:tcPr>
            <w:tcW w:w="3297" w:type="dxa"/>
            <w:vMerge w:val="restart"/>
            <w:tcBorders>
              <w:top w:val="single" w:sz="4" w:space="0" w:color="auto"/>
              <w:left w:val="single" w:sz="4" w:space="0" w:color="auto"/>
              <w:bottom w:val="single" w:sz="4" w:space="0" w:color="auto"/>
              <w:right w:val="single" w:sz="4" w:space="0" w:color="auto"/>
            </w:tcBorders>
          </w:tcPr>
          <w:p w14:paraId="4F23C060" w14:textId="77777777" w:rsidR="00AC4767" w:rsidRPr="00AF3BE0" w:rsidRDefault="00AC4767" w:rsidP="00CD7884">
            <w:pPr>
              <w:rPr>
                <w:b/>
                <w:sz w:val="20"/>
                <w:szCs w:val="20"/>
              </w:rPr>
            </w:pPr>
          </w:p>
          <w:p w14:paraId="2998040F" w14:textId="77777777" w:rsidR="00AC4767" w:rsidRPr="00AF3BE0" w:rsidRDefault="00AC4767" w:rsidP="00CD7884">
            <w:pPr>
              <w:jc w:val="center"/>
              <w:rPr>
                <w:b/>
                <w:sz w:val="20"/>
                <w:szCs w:val="20"/>
              </w:rPr>
            </w:pPr>
            <w:r w:rsidRPr="00AF3BE0">
              <w:rPr>
                <w:b/>
                <w:sz w:val="20"/>
                <w:szCs w:val="20"/>
              </w:rPr>
              <w:t>Plazo para comentarios</w:t>
            </w:r>
          </w:p>
        </w:tc>
        <w:tc>
          <w:tcPr>
            <w:tcW w:w="2977" w:type="dxa"/>
            <w:vMerge w:val="restart"/>
            <w:tcBorders>
              <w:top w:val="single" w:sz="4" w:space="0" w:color="auto"/>
              <w:left w:val="single" w:sz="4" w:space="0" w:color="auto"/>
              <w:bottom w:val="single" w:sz="4" w:space="0" w:color="auto"/>
              <w:right w:val="single" w:sz="4" w:space="0" w:color="auto"/>
            </w:tcBorders>
          </w:tcPr>
          <w:p w14:paraId="47E07D7A" w14:textId="77777777" w:rsidR="00AC4767" w:rsidRPr="00AF3BE0" w:rsidRDefault="00AC4767" w:rsidP="00CD7884">
            <w:pPr>
              <w:jc w:val="center"/>
              <w:rPr>
                <w:b/>
                <w:sz w:val="20"/>
                <w:szCs w:val="20"/>
              </w:rPr>
            </w:pPr>
          </w:p>
          <w:p w14:paraId="0A3A9CD9" w14:textId="77777777" w:rsidR="00AC4767" w:rsidRPr="00AF3BE0" w:rsidRDefault="00AC4767" w:rsidP="00CD7884">
            <w:pPr>
              <w:jc w:val="center"/>
              <w:rPr>
                <w:b/>
                <w:sz w:val="20"/>
                <w:szCs w:val="20"/>
              </w:rPr>
            </w:pPr>
            <w:r w:rsidRPr="00AF3BE0">
              <w:rPr>
                <w:b/>
                <w:sz w:val="20"/>
                <w:szCs w:val="20"/>
              </w:rPr>
              <w:t>Comentarios recibidos</w:t>
            </w:r>
          </w:p>
        </w:tc>
        <w:tc>
          <w:tcPr>
            <w:tcW w:w="4678" w:type="dxa"/>
            <w:vMerge w:val="restart"/>
            <w:tcBorders>
              <w:top w:val="single" w:sz="4" w:space="0" w:color="auto"/>
              <w:left w:val="single" w:sz="4" w:space="0" w:color="auto"/>
              <w:bottom w:val="single" w:sz="4" w:space="0" w:color="auto"/>
              <w:right w:val="single" w:sz="4" w:space="0" w:color="auto"/>
            </w:tcBorders>
          </w:tcPr>
          <w:p w14:paraId="059FD70D" w14:textId="77777777" w:rsidR="00AC4767" w:rsidRPr="00AF3BE0" w:rsidRDefault="00AC4767" w:rsidP="00CD7884">
            <w:pPr>
              <w:jc w:val="center"/>
              <w:rPr>
                <w:b/>
                <w:sz w:val="20"/>
                <w:szCs w:val="20"/>
              </w:rPr>
            </w:pPr>
          </w:p>
          <w:p w14:paraId="6009B343" w14:textId="77777777" w:rsidR="00AC4767" w:rsidRPr="00AF3BE0" w:rsidRDefault="00AC4767" w:rsidP="00CD7884">
            <w:pPr>
              <w:jc w:val="center"/>
              <w:rPr>
                <w:b/>
                <w:sz w:val="20"/>
                <w:szCs w:val="20"/>
              </w:rPr>
            </w:pPr>
            <w:r w:rsidRPr="00AF3BE0">
              <w:rPr>
                <w:b/>
                <w:sz w:val="20"/>
                <w:szCs w:val="20"/>
              </w:rPr>
              <w:t>Análisis de viabilidad</w:t>
            </w:r>
          </w:p>
        </w:tc>
      </w:tr>
      <w:tr w:rsidR="00AC4767" w14:paraId="21D17C37" w14:textId="77777777" w:rsidTr="00F15C11">
        <w:tc>
          <w:tcPr>
            <w:tcW w:w="1832" w:type="dxa"/>
            <w:vMerge/>
            <w:tcBorders>
              <w:top w:val="single" w:sz="4" w:space="0" w:color="auto"/>
              <w:left w:val="single" w:sz="4" w:space="0" w:color="auto"/>
              <w:bottom w:val="single" w:sz="4" w:space="0" w:color="auto"/>
              <w:right w:val="single" w:sz="4" w:space="0" w:color="auto"/>
            </w:tcBorders>
            <w:vAlign w:val="center"/>
            <w:hideMark/>
          </w:tcPr>
          <w:p w14:paraId="7603F540" w14:textId="77777777" w:rsidR="00AC4767" w:rsidRPr="00AF3BE0" w:rsidRDefault="00AC4767" w:rsidP="00CD7884">
            <w:pPr>
              <w:spacing w:line="240" w:lineRule="auto"/>
              <w:rPr>
                <w:rFonts w:eastAsia="Times New Roman"/>
                <w:b/>
                <w:sz w:val="20"/>
                <w:szCs w:val="20"/>
              </w:rPr>
            </w:pPr>
          </w:p>
        </w:tc>
        <w:tc>
          <w:tcPr>
            <w:tcW w:w="3183" w:type="dxa"/>
            <w:vMerge/>
            <w:tcBorders>
              <w:top w:val="single" w:sz="4" w:space="0" w:color="auto"/>
              <w:left w:val="single" w:sz="4" w:space="0" w:color="auto"/>
              <w:bottom w:val="single" w:sz="4" w:space="0" w:color="auto"/>
              <w:right w:val="single" w:sz="4" w:space="0" w:color="auto"/>
            </w:tcBorders>
            <w:vAlign w:val="center"/>
            <w:hideMark/>
          </w:tcPr>
          <w:p w14:paraId="10E493F6" w14:textId="77777777" w:rsidR="00AC4767" w:rsidRPr="00AF3BE0" w:rsidRDefault="00AC4767" w:rsidP="00CD7884">
            <w:pPr>
              <w:spacing w:line="240" w:lineRule="auto"/>
              <w:rPr>
                <w:rFonts w:eastAsia="Times New Roman"/>
                <w:b/>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14:paraId="2C0CF3A6" w14:textId="77777777" w:rsidR="00AC4767" w:rsidRPr="00AF3BE0" w:rsidRDefault="00AC4767" w:rsidP="00CD7884">
            <w:pPr>
              <w:jc w:val="center"/>
              <w:rPr>
                <w:b/>
                <w:sz w:val="20"/>
                <w:szCs w:val="20"/>
              </w:rPr>
            </w:pPr>
            <w:r w:rsidRPr="00AF3BE0">
              <w:rPr>
                <w:b/>
                <w:sz w:val="20"/>
                <w:szCs w:val="20"/>
              </w:rPr>
              <w:t>Página web</w:t>
            </w:r>
          </w:p>
        </w:tc>
        <w:tc>
          <w:tcPr>
            <w:tcW w:w="1035" w:type="dxa"/>
            <w:tcBorders>
              <w:top w:val="single" w:sz="4" w:space="0" w:color="auto"/>
              <w:left w:val="single" w:sz="4" w:space="0" w:color="auto"/>
              <w:bottom w:val="single" w:sz="4" w:space="0" w:color="auto"/>
              <w:right w:val="single" w:sz="4" w:space="0" w:color="auto"/>
            </w:tcBorders>
            <w:hideMark/>
          </w:tcPr>
          <w:p w14:paraId="07EBF263" w14:textId="77777777" w:rsidR="00AC4767" w:rsidRPr="00AF3BE0" w:rsidRDefault="00AC4767" w:rsidP="00CD7884">
            <w:pPr>
              <w:jc w:val="center"/>
              <w:rPr>
                <w:b/>
                <w:sz w:val="20"/>
                <w:szCs w:val="20"/>
              </w:rPr>
            </w:pPr>
            <w:r w:rsidRPr="00AF3BE0">
              <w:rPr>
                <w:b/>
                <w:sz w:val="20"/>
                <w:szCs w:val="20"/>
              </w:rPr>
              <w:t>Sede física</w:t>
            </w:r>
          </w:p>
        </w:tc>
        <w:tc>
          <w:tcPr>
            <w:tcW w:w="3297" w:type="dxa"/>
            <w:vMerge/>
            <w:tcBorders>
              <w:top w:val="single" w:sz="4" w:space="0" w:color="auto"/>
              <w:left w:val="single" w:sz="4" w:space="0" w:color="auto"/>
              <w:bottom w:val="single" w:sz="4" w:space="0" w:color="auto"/>
              <w:right w:val="single" w:sz="4" w:space="0" w:color="auto"/>
            </w:tcBorders>
            <w:vAlign w:val="center"/>
            <w:hideMark/>
          </w:tcPr>
          <w:p w14:paraId="01BE7398" w14:textId="77777777" w:rsidR="00AC4767" w:rsidRPr="00AF3BE0" w:rsidRDefault="00AC4767" w:rsidP="00CD7884">
            <w:pPr>
              <w:spacing w:line="240" w:lineRule="auto"/>
              <w:rPr>
                <w:rFonts w:eastAsia="Times New Roman"/>
                <w:b/>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2654778" w14:textId="77777777" w:rsidR="00AC4767" w:rsidRPr="00AF3BE0" w:rsidRDefault="00AC4767" w:rsidP="00CD7884">
            <w:pPr>
              <w:spacing w:line="240" w:lineRule="auto"/>
              <w:rPr>
                <w:rFonts w:eastAsia="Times New Roman"/>
                <w:b/>
                <w:sz w:val="20"/>
                <w:szCs w:val="20"/>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02737162" w14:textId="77777777" w:rsidR="00AC4767" w:rsidRPr="00AF3BE0" w:rsidRDefault="00AC4767" w:rsidP="00CD7884">
            <w:pPr>
              <w:spacing w:line="240" w:lineRule="auto"/>
              <w:rPr>
                <w:rFonts w:eastAsia="Times New Roman"/>
                <w:b/>
                <w:sz w:val="20"/>
                <w:szCs w:val="20"/>
              </w:rPr>
            </w:pPr>
          </w:p>
        </w:tc>
      </w:tr>
      <w:tr w:rsidR="00F529F4" w:rsidRPr="00751D8F" w14:paraId="2292CF30" w14:textId="77777777" w:rsidTr="00F15C11">
        <w:tc>
          <w:tcPr>
            <w:tcW w:w="1832" w:type="dxa"/>
            <w:tcBorders>
              <w:top w:val="single" w:sz="4" w:space="0" w:color="auto"/>
              <w:left w:val="single" w:sz="4" w:space="0" w:color="auto"/>
              <w:bottom w:val="single" w:sz="4" w:space="0" w:color="auto"/>
              <w:right w:val="single" w:sz="4" w:space="0" w:color="auto"/>
            </w:tcBorders>
          </w:tcPr>
          <w:p w14:paraId="7C6C5090" w14:textId="77777777" w:rsidR="004A4E90" w:rsidRPr="00E026E8" w:rsidRDefault="004A4E90" w:rsidP="00596E8D">
            <w:pPr>
              <w:ind w:left="22" w:hanging="22"/>
              <w:rPr>
                <w:sz w:val="18"/>
                <w:szCs w:val="18"/>
              </w:rPr>
            </w:pPr>
          </w:p>
          <w:p w14:paraId="16F1F7DE" w14:textId="27BF9964" w:rsidR="00596E8D" w:rsidRPr="00E026E8" w:rsidRDefault="00596E8D" w:rsidP="00596E8D">
            <w:pPr>
              <w:ind w:left="22" w:hanging="22"/>
              <w:rPr>
                <w:sz w:val="18"/>
                <w:szCs w:val="18"/>
              </w:rPr>
            </w:pPr>
            <w:r w:rsidRPr="00E026E8">
              <w:rPr>
                <w:sz w:val="18"/>
                <w:szCs w:val="18"/>
              </w:rPr>
              <w:t>Circular Externa</w:t>
            </w:r>
          </w:p>
          <w:p w14:paraId="5BBEB479" w14:textId="77777777" w:rsidR="00596E8D" w:rsidRPr="00E026E8" w:rsidRDefault="00596E8D" w:rsidP="00596E8D">
            <w:pPr>
              <w:ind w:left="22" w:hanging="22"/>
              <w:rPr>
                <w:sz w:val="18"/>
                <w:szCs w:val="18"/>
              </w:rPr>
            </w:pPr>
            <w:r w:rsidRPr="00E026E8">
              <w:rPr>
                <w:sz w:val="18"/>
                <w:szCs w:val="18"/>
              </w:rPr>
              <w:t>(Formato de</w:t>
            </w:r>
          </w:p>
          <w:p w14:paraId="3E1E61F8" w14:textId="77777777" w:rsidR="00596E8D" w:rsidRPr="00E026E8" w:rsidRDefault="00596E8D" w:rsidP="00596E8D">
            <w:pPr>
              <w:ind w:left="22" w:hanging="22"/>
              <w:rPr>
                <w:sz w:val="18"/>
                <w:szCs w:val="18"/>
              </w:rPr>
            </w:pPr>
            <w:r w:rsidRPr="00E026E8">
              <w:rPr>
                <w:sz w:val="18"/>
                <w:szCs w:val="18"/>
              </w:rPr>
              <w:t>Depósitos</w:t>
            </w:r>
          </w:p>
          <w:p w14:paraId="2EA14308" w14:textId="77777777" w:rsidR="00596E8D" w:rsidRPr="00E026E8" w:rsidRDefault="00596E8D" w:rsidP="00596E8D">
            <w:pPr>
              <w:ind w:left="22" w:hanging="22"/>
              <w:rPr>
                <w:sz w:val="18"/>
                <w:szCs w:val="18"/>
              </w:rPr>
            </w:pPr>
            <w:r w:rsidRPr="00E026E8">
              <w:rPr>
                <w:sz w:val="18"/>
                <w:szCs w:val="18"/>
              </w:rPr>
              <w:t>Individuales –</w:t>
            </w:r>
          </w:p>
          <w:p w14:paraId="7B955EDF" w14:textId="77777777" w:rsidR="00596E8D" w:rsidRPr="00E026E8" w:rsidRDefault="00596E8D" w:rsidP="00596E8D">
            <w:pPr>
              <w:ind w:left="22" w:hanging="22"/>
              <w:rPr>
                <w:sz w:val="18"/>
                <w:szCs w:val="18"/>
              </w:rPr>
            </w:pPr>
            <w:r w:rsidRPr="00E026E8">
              <w:rPr>
                <w:sz w:val="18"/>
                <w:szCs w:val="18"/>
              </w:rPr>
              <w:t>FDI-</w:t>
            </w:r>
          </w:p>
          <w:p w14:paraId="2C659077" w14:textId="77777777" w:rsidR="00596E8D" w:rsidRPr="00E026E8" w:rsidRDefault="00596E8D" w:rsidP="00596E8D">
            <w:pPr>
              <w:ind w:left="22" w:hanging="22"/>
              <w:rPr>
                <w:sz w:val="18"/>
                <w:szCs w:val="18"/>
              </w:rPr>
            </w:pPr>
            <w:r w:rsidRPr="00E026E8">
              <w:rPr>
                <w:sz w:val="18"/>
                <w:szCs w:val="18"/>
              </w:rPr>
              <w:t>establecimientos</w:t>
            </w:r>
          </w:p>
          <w:p w14:paraId="4F63FE05" w14:textId="77777777" w:rsidR="00596E8D" w:rsidRPr="00E026E8" w:rsidRDefault="00596E8D" w:rsidP="00596E8D">
            <w:pPr>
              <w:ind w:left="22" w:hanging="22"/>
              <w:rPr>
                <w:sz w:val="18"/>
                <w:szCs w:val="18"/>
              </w:rPr>
            </w:pPr>
            <w:r w:rsidRPr="00E026E8">
              <w:rPr>
                <w:sz w:val="18"/>
                <w:szCs w:val="18"/>
              </w:rPr>
              <w:t>bancarios,</w:t>
            </w:r>
          </w:p>
          <w:p w14:paraId="4A14E905" w14:textId="77777777" w:rsidR="00596E8D" w:rsidRPr="00E026E8" w:rsidRDefault="00596E8D" w:rsidP="00596E8D">
            <w:pPr>
              <w:ind w:left="22" w:hanging="22"/>
              <w:rPr>
                <w:sz w:val="18"/>
                <w:szCs w:val="18"/>
              </w:rPr>
            </w:pPr>
            <w:r w:rsidRPr="00E026E8">
              <w:rPr>
                <w:sz w:val="18"/>
                <w:szCs w:val="18"/>
              </w:rPr>
              <w:t>corporaciones</w:t>
            </w:r>
          </w:p>
          <w:p w14:paraId="1F3C518A" w14:textId="59B74B11" w:rsidR="00596E8D" w:rsidRPr="00E026E8" w:rsidRDefault="00596E8D" w:rsidP="00596E8D">
            <w:pPr>
              <w:ind w:left="22" w:hanging="22"/>
              <w:rPr>
                <w:sz w:val="18"/>
                <w:szCs w:val="18"/>
              </w:rPr>
            </w:pPr>
            <w:r w:rsidRPr="00E026E8">
              <w:rPr>
                <w:sz w:val="18"/>
                <w:szCs w:val="18"/>
              </w:rPr>
              <w:t xml:space="preserve">financieras, </w:t>
            </w:r>
          </w:p>
          <w:p w14:paraId="6810E41C" w14:textId="77777777" w:rsidR="00596E8D" w:rsidRPr="00E026E8" w:rsidRDefault="00596E8D" w:rsidP="00596E8D">
            <w:pPr>
              <w:ind w:left="22" w:hanging="22"/>
              <w:rPr>
                <w:sz w:val="18"/>
                <w:szCs w:val="18"/>
              </w:rPr>
            </w:pPr>
            <w:r w:rsidRPr="00E026E8">
              <w:rPr>
                <w:sz w:val="18"/>
                <w:szCs w:val="18"/>
              </w:rPr>
              <w:t>compañías de</w:t>
            </w:r>
          </w:p>
          <w:p w14:paraId="6B0C033A" w14:textId="75A5975C" w:rsidR="00596E8D" w:rsidRPr="00E026E8" w:rsidRDefault="00596E8D" w:rsidP="00596E8D">
            <w:pPr>
              <w:ind w:left="22" w:hanging="22"/>
              <w:rPr>
                <w:sz w:val="18"/>
                <w:szCs w:val="18"/>
              </w:rPr>
            </w:pPr>
            <w:r w:rsidRPr="00E026E8">
              <w:rPr>
                <w:sz w:val="18"/>
                <w:szCs w:val="18"/>
              </w:rPr>
              <w:t>financiamiento y S</w:t>
            </w:r>
            <w:r w:rsidR="006547DD" w:rsidRPr="00E026E8">
              <w:rPr>
                <w:sz w:val="18"/>
                <w:szCs w:val="18"/>
              </w:rPr>
              <w:t xml:space="preserve">ociedades </w:t>
            </w:r>
            <w:r w:rsidRPr="00E026E8">
              <w:rPr>
                <w:sz w:val="18"/>
                <w:szCs w:val="18"/>
              </w:rPr>
              <w:t>E</w:t>
            </w:r>
            <w:r w:rsidR="006547DD" w:rsidRPr="00E026E8">
              <w:rPr>
                <w:sz w:val="18"/>
                <w:szCs w:val="18"/>
              </w:rPr>
              <w:t xml:space="preserve">specializadas en </w:t>
            </w:r>
            <w:r w:rsidRPr="00E026E8">
              <w:rPr>
                <w:sz w:val="18"/>
                <w:szCs w:val="18"/>
              </w:rPr>
              <w:t>D</w:t>
            </w:r>
            <w:r w:rsidR="006547DD" w:rsidRPr="00E026E8">
              <w:rPr>
                <w:sz w:val="18"/>
                <w:szCs w:val="18"/>
              </w:rPr>
              <w:t xml:space="preserve">epósitos y </w:t>
            </w:r>
            <w:r w:rsidRPr="00E026E8">
              <w:rPr>
                <w:sz w:val="18"/>
                <w:szCs w:val="18"/>
              </w:rPr>
              <w:t>P</w:t>
            </w:r>
            <w:r w:rsidR="006547DD" w:rsidRPr="00E026E8">
              <w:rPr>
                <w:sz w:val="18"/>
                <w:szCs w:val="18"/>
              </w:rPr>
              <w:t xml:space="preserve">agos </w:t>
            </w:r>
            <w:r w:rsidRPr="00E026E8">
              <w:rPr>
                <w:sz w:val="18"/>
                <w:szCs w:val="18"/>
              </w:rPr>
              <w:t>E</w:t>
            </w:r>
            <w:r w:rsidR="006547DD" w:rsidRPr="00E026E8">
              <w:rPr>
                <w:sz w:val="18"/>
                <w:szCs w:val="18"/>
              </w:rPr>
              <w:t>lectrónicos -</w:t>
            </w:r>
            <w:r w:rsidRPr="00E026E8">
              <w:rPr>
                <w:sz w:val="18"/>
                <w:szCs w:val="18"/>
              </w:rPr>
              <w:t>S</w:t>
            </w:r>
            <w:r w:rsidR="006547DD" w:rsidRPr="00E026E8">
              <w:rPr>
                <w:sz w:val="18"/>
                <w:szCs w:val="18"/>
              </w:rPr>
              <w:t>EDPES</w:t>
            </w:r>
            <w:r w:rsidRPr="00E026E8">
              <w:rPr>
                <w:sz w:val="18"/>
                <w:szCs w:val="18"/>
              </w:rPr>
              <w:t>)</w:t>
            </w:r>
          </w:p>
          <w:p w14:paraId="4A415417" w14:textId="77777777" w:rsidR="00881817" w:rsidRPr="00E026E8" w:rsidRDefault="00881817" w:rsidP="00B43FBE">
            <w:pPr>
              <w:ind w:left="22" w:hanging="22"/>
              <w:rPr>
                <w:sz w:val="18"/>
                <w:szCs w:val="18"/>
              </w:rPr>
            </w:pPr>
          </w:p>
          <w:p w14:paraId="0D9CF69A" w14:textId="77777777" w:rsidR="00881817" w:rsidRPr="00E026E8" w:rsidRDefault="00881817" w:rsidP="00881817">
            <w:pPr>
              <w:rPr>
                <w:rFonts w:ascii="Verdana" w:hAnsi="Verdana"/>
                <w:sz w:val="18"/>
                <w:szCs w:val="18"/>
              </w:rPr>
            </w:pPr>
          </w:p>
          <w:p w14:paraId="59AD2160" w14:textId="77777777" w:rsidR="00881817" w:rsidRPr="00E026E8" w:rsidRDefault="00881817" w:rsidP="00881817">
            <w:pPr>
              <w:rPr>
                <w:rFonts w:ascii="Verdana" w:hAnsi="Verdana"/>
                <w:sz w:val="18"/>
                <w:szCs w:val="18"/>
              </w:rPr>
            </w:pPr>
          </w:p>
          <w:p w14:paraId="61E638E3" w14:textId="6771BE39" w:rsidR="00881817" w:rsidRPr="00E026E8" w:rsidRDefault="00881817" w:rsidP="00881817">
            <w:pPr>
              <w:rPr>
                <w:rFonts w:ascii="Verdana" w:hAnsi="Verdana"/>
                <w:sz w:val="18"/>
                <w:szCs w:val="18"/>
              </w:rPr>
            </w:pPr>
            <w:r w:rsidRPr="00E026E8">
              <w:rPr>
                <w:rFonts w:ascii="Verdana" w:hAnsi="Verdana"/>
                <w:sz w:val="18"/>
                <w:szCs w:val="18"/>
              </w:rPr>
              <w:t xml:space="preserve"> </w:t>
            </w:r>
          </w:p>
          <w:p w14:paraId="479B0341" w14:textId="1E2D19B3" w:rsidR="00881817" w:rsidRPr="00E026E8" w:rsidRDefault="00881817" w:rsidP="00B43FBE">
            <w:pPr>
              <w:ind w:left="22" w:hanging="22"/>
              <w:rPr>
                <w:sz w:val="18"/>
                <w:szCs w:val="18"/>
              </w:rPr>
            </w:pPr>
          </w:p>
        </w:tc>
        <w:tc>
          <w:tcPr>
            <w:tcW w:w="3183" w:type="dxa"/>
            <w:tcBorders>
              <w:top w:val="single" w:sz="4" w:space="0" w:color="auto"/>
              <w:left w:val="single" w:sz="4" w:space="0" w:color="auto"/>
              <w:bottom w:val="single" w:sz="4" w:space="0" w:color="auto"/>
              <w:right w:val="single" w:sz="4" w:space="0" w:color="auto"/>
            </w:tcBorders>
          </w:tcPr>
          <w:p w14:paraId="5AA49977" w14:textId="77777777" w:rsidR="00881817" w:rsidRPr="00E026E8" w:rsidRDefault="00881817" w:rsidP="00EC07B1">
            <w:pPr>
              <w:ind w:left="22" w:hanging="22"/>
              <w:rPr>
                <w:sz w:val="18"/>
                <w:szCs w:val="18"/>
              </w:rPr>
            </w:pPr>
          </w:p>
          <w:p w14:paraId="533F4306" w14:textId="6B9601C2" w:rsidR="00857E92" w:rsidRPr="00E026E8" w:rsidRDefault="00EC07B1" w:rsidP="00FF5EC1">
            <w:pPr>
              <w:ind w:left="22" w:hanging="22"/>
              <w:rPr>
                <w:sz w:val="18"/>
                <w:szCs w:val="18"/>
              </w:rPr>
            </w:pPr>
            <w:r w:rsidRPr="00E026E8">
              <w:rPr>
                <w:sz w:val="18"/>
                <w:szCs w:val="18"/>
              </w:rPr>
              <w:t xml:space="preserve">Modificar aspectos relacionados con el </w:t>
            </w:r>
            <w:r w:rsidR="00857E92" w:rsidRPr="00E026E8">
              <w:rPr>
                <w:sz w:val="18"/>
                <w:szCs w:val="18"/>
              </w:rPr>
              <w:t xml:space="preserve">Formato de Depósitos Individuales </w:t>
            </w:r>
            <w:r w:rsidRPr="00E026E8">
              <w:rPr>
                <w:sz w:val="18"/>
                <w:szCs w:val="18"/>
              </w:rPr>
              <w:t>–</w:t>
            </w:r>
            <w:r w:rsidR="00857E92" w:rsidRPr="00E026E8">
              <w:rPr>
                <w:sz w:val="18"/>
                <w:szCs w:val="18"/>
              </w:rPr>
              <w:t xml:space="preserve"> FDI</w:t>
            </w:r>
            <w:r w:rsidRPr="00E026E8">
              <w:rPr>
                <w:sz w:val="18"/>
                <w:szCs w:val="18"/>
              </w:rPr>
              <w:t xml:space="preserve">-, </w:t>
            </w:r>
            <w:r w:rsidR="00FF5EC1" w:rsidRPr="00E026E8">
              <w:rPr>
                <w:sz w:val="18"/>
                <w:szCs w:val="18"/>
              </w:rPr>
              <w:t xml:space="preserve">en relación con </w:t>
            </w:r>
            <w:r w:rsidR="00857E92" w:rsidRPr="00E026E8">
              <w:rPr>
                <w:sz w:val="18"/>
                <w:szCs w:val="18"/>
              </w:rPr>
              <w:t xml:space="preserve">los campos y estructura del </w:t>
            </w:r>
            <w:r w:rsidR="00FF5EC1" w:rsidRPr="00E026E8">
              <w:rPr>
                <w:sz w:val="18"/>
                <w:szCs w:val="18"/>
              </w:rPr>
              <w:t>formato,</w:t>
            </w:r>
            <w:r w:rsidR="00857E92" w:rsidRPr="00E026E8">
              <w:rPr>
                <w:sz w:val="18"/>
                <w:szCs w:val="18"/>
              </w:rPr>
              <w:t xml:space="preserve"> las reglas para su diligenciamiento</w:t>
            </w:r>
            <w:r w:rsidR="00FF5EC1" w:rsidRPr="00E026E8">
              <w:rPr>
                <w:sz w:val="18"/>
                <w:szCs w:val="18"/>
              </w:rPr>
              <w:t xml:space="preserve">, </w:t>
            </w:r>
            <w:r w:rsidR="00857E92" w:rsidRPr="00E026E8">
              <w:rPr>
                <w:sz w:val="18"/>
                <w:szCs w:val="18"/>
              </w:rPr>
              <w:t>la periodicidad para su envío</w:t>
            </w:r>
            <w:r w:rsidR="00FF5EC1" w:rsidRPr="00E026E8">
              <w:rPr>
                <w:sz w:val="18"/>
                <w:szCs w:val="18"/>
              </w:rPr>
              <w:t xml:space="preserve"> y la </w:t>
            </w:r>
            <w:r w:rsidR="00857E92" w:rsidRPr="00E026E8">
              <w:rPr>
                <w:sz w:val="18"/>
                <w:szCs w:val="18"/>
              </w:rPr>
              <w:t>forma de transmisión</w:t>
            </w:r>
            <w:r w:rsidR="000B295E">
              <w:rPr>
                <w:sz w:val="18"/>
                <w:szCs w:val="18"/>
              </w:rPr>
              <w:t xml:space="preserve"> de la información del formato</w:t>
            </w:r>
            <w:r w:rsidR="00491B35" w:rsidRPr="00E026E8">
              <w:rPr>
                <w:sz w:val="18"/>
                <w:szCs w:val="18"/>
              </w:rPr>
              <w:t xml:space="preserve">. </w:t>
            </w:r>
          </w:p>
          <w:p w14:paraId="30D11042" w14:textId="77777777" w:rsidR="00881817" w:rsidRPr="00E026E8" w:rsidRDefault="00881817" w:rsidP="00AF3BE0">
            <w:pPr>
              <w:ind w:left="-55"/>
              <w:rPr>
                <w:sz w:val="18"/>
                <w:szCs w:val="18"/>
              </w:rPr>
            </w:pPr>
          </w:p>
          <w:p w14:paraId="339DEA55" w14:textId="5A662559" w:rsidR="00751D8F" w:rsidRPr="00E026E8" w:rsidRDefault="00751D8F" w:rsidP="00EC07B1">
            <w:pPr>
              <w:ind w:left="-55"/>
              <w:rPr>
                <w:sz w:val="18"/>
                <w:szCs w:val="18"/>
              </w:rPr>
            </w:pPr>
          </w:p>
        </w:tc>
        <w:tc>
          <w:tcPr>
            <w:tcW w:w="996" w:type="dxa"/>
            <w:tcBorders>
              <w:top w:val="single" w:sz="4" w:space="0" w:color="auto"/>
              <w:left w:val="single" w:sz="4" w:space="0" w:color="auto"/>
              <w:bottom w:val="single" w:sz="4" w:space="0" w:color="auto"/>
              <w:right w:val="single" w:sz="4" w:space="0" w:color="auto"/>
            </w:tcBorders>
            <w:hideMark/>
          </w:tcPr>
          <w:p w14:paraId="51AC8146" w14:textId="77777777" w:rsidR="004A4E90" w:rsidRPr="00E026E8" w:rsidRDefault="004A4E90" w:rsidP="00F529F4">
            <w:pPr>
              <w:jc w:val="center"/>
              <w:rPr>
                <w:sz w:val="18"/>
                <w:szCs w:val="18"/>
              </w:rPr>
            </w:pPr>
          </w:p>
          <w:p w14:paraId="4C338264" w14:textId="3FCDB52E" w:rsidR="00F529F4" w:rsidRPr="00E026E8" w:rsidRDefault="00F529F4" w:rsidP="00F529F4">
            <w:pPr>
              <w:jc w:val="center"/>
              <w:rPr>
                <w:sz w:val="18"/>
                <w:szCs w:val="18"/>
              </w:rPr>
            </w:pPr>
            <w:r w:rsidRPr="00E026E8">
              <w:rPr>
                <w:sz w:val="18"/>
                <w:szCs w:val="18"/>
              </w:rPr>
              <w:t>Sí</w:t>
            </w:r>
          </w:p>
        </w:tc>
        <w:tc>
          <w:tcPr>
            <w:tcW w:w="1035" w:type="dxa"/>
            <w:tcBorders>
              <w:top w:val="single" w:sz="4" w:space="0" w:color="auto"/>
              <w:left w:val="single" w:sz="4" w:space="0" w:color="auto"/>
              <w:bottom w:val="single" w:sz="4" w:space="0" w:color="auto"/>
              <w:right w:val="single" w:sz="4" w:space="0" w:color="auto"/>
            </w:tcBorders>
            <w:hideMark/>
          </w:tcPr>
          <w:p w14:paraId="23F64F11" w14:textId="77777777" w:rsidR="004A4E90" w:rsidRPr="00E026E8" w:rsidRDefault="004A4E90" w:rsidP="00F529F4">
            <w:pPr>
              <w:jc w:val="center"/>
              <w:rPr>
                <w:sz w:val="18"/>
                <w:szCs w:val="18"/>
              </w:rPr>
            </w:pPr>
          </w:p>
          <w:p w14:paraId="6F1E030D" w14:textId="61E832EB" w:rsidR="00F529F4" w:rsidRPr="00E026E8" w:rsidRDefault="00F529F4" w:rsidP="00F529F4">
            <w:pPr>
              <w:jc w:val="center"/>
              <w:rPr>
                <w:sz w:val="18"/>
                <w:szCs w:val="18"/>
              </w:rPr>
            </w:pPr>
            <w:r w:rsidRPr="00E026E8">
              <w:rPr>
                <w:sz w:val="18"/>
                <w:szCs w:val="18"/>
              </w:rPr>
              <w:t xml:space="preserve">Sí </w:t>
            </w:r>
          </w:p>
        </w:tc>
        <w:tc>
          <w:tcPr>
            <w:tcW w:w="3297" w:type="dxa"/>
            <w:tcBorders>
              <w:top w:val="single" w:sz="4" w:space="0" w:color="auto"/>
              <w:left w:val="single" w:sz="4" w:space="0" w:color="auto"/>
              <w:bottom w:val="single" w:sz="4" w:space="0" w:color="auto"/>
              <w:right w:val="single" w:sz="4" w:space="0" w:color="auto"/>
            </w:tcBorders>
            <w:hideMark/>
          </w:tcPr>
          <w:p w14:paraId="4803407C" w14:textId="77777777" w:rsidR="004A4E90" w:rsidRPr="00E026E8" w:rsidRDefault="004A4E90" w:rsidP="004A4E90">
            <w:pPr>
              <w:rPr>
                <w:sz w:val="18"/>
                <w:szCs w:val="18"/>
              </w:rPr>
            </w:pPr>
          </w:p>
          <w:p w14:paraId="000F21BE" w14:textId="7015EC1D" w:rsidR="004A4E90" w:rsidRPr="00E026E8" w:rsidRDefault="004A4E90" w:rsidP="004A4E90">
            <w:pPr>
              <w:rPr>
                <w:sz w:val="18"/>
                <w:szCs w:val="18"/>
              </w:rPr>
            </w:pPr>
            <w:r w:rsidRPr="00E026E8">
              <w:rPr>
                <w:b/>
                <w:bCs/>
                <w:sz w:val="18"/>
                <w:szCs w:val="18"/>
              </w:rPr>
              <w:t>Fase I</w:t>
            </w:r>
            <w:r w:rsidRPr="00E026E8">
              <w:rPr>
                <w:sz w:val="18"/>
                <w:szCs w:val="18"/>
              </w:rPr>
              <w:t xml:space="preserve">: </w:t>
            </w:r>
            <w:r w:rsidR="00857E92" w:rsidRPr="00E026E8">
              <w:rPr>
                <w:sz w:val="18"/>
                <w:szCs w:val="18"/>
              </w:rPr>
              <w:t>Entre el 7 y el 17 de abril de 2026</w:t>
            </w:r>
            <w:r w:rsidR="00FF5EC1" w:rsidRPr="00E026E8">
              <w:rPr>
                <w:sz w:val="18"/>
                <w:szCs w:val="18"/>
              </w:rPr>
              <w:t>, relacionada con las modificaciones a los campos, la estructura, las reglas de diligenciamiento y la periodicidad de envío del FDI.</w:t>
            </w:r>
          </w:p>
          <w:p w14:paraId="6B148E18" w14:textId="77777777" w:rsidR="004A4E90" w:rsidRPr="00E026E8" w:rsidRDefault="004A4E90" w:rsidP="004A4E90">
            <w:pPr>
              <w:rPr>
                <w:sz w:val="18"/>
                <w:szCs w:val="18"/>
              </w:rPr>
            </w:pPr>
          </w:p>
          <w:p w14:paraId="5B7366D5" w14:textId="64EEDFC0" w:rsidR="00FF5EC1" w:rsidRPr="00E026E8" w:rsidRDefault="004A4E90" w:rsidP="00FF5EC1">
            <w:pPr>
              <w:rPr>
                <w:sz w:val="18"/>
                <w:szCs w:val="18"/>
              </w:rPr>
            </w:pPr>
            <w:r w:rsidRPr="00E026E8">
              <w:rPr>
                <w:b/>
                <w:bCs/>
                <w:sz w:val="18"/>
                <w:szCs w:val="18"/>
              </w:rPr>
              <w:t>Fase II</w:t>
            </w:r>
            <w:r w:rsidRPr="00E026E8">
              <w:rPr>
                <w:sz w:val="18"/>
                <w:szCs w:val="18"/>
              </w:rPr>
              <w:t xml:space="preserve">: </w:t>
            </w:r>
            <w:r w:rsidR="00857E92" w:rsidRPr="00E026E8">
              <w:rPr>
                <w:sz w:val="18"/>
                <w:szCs w:val="18"/>
              </w:rPr>
              <w:t>E</w:t>
            </w:r>
            <w:r w:rsidRPr="00E026E8">
              <w:rPr>
                <w:sz w:val="18"/>
                <w:szCs w:val="18"/>
              </w:rPr>
              <w:t>ntre el 24 de junio y el 1 de julio de 2026</w:t>
            </w:r>
            <w:r w:rsidR="00FF5EC1" w:rsidRPr="00E026E8">
              <w:rPr>
                <w:sz w:val="18"/>
                <w:szCs w:val="18"/>
              </w:rPr>
              <w:t>, referente a la forma de transmisión de la información</w:t>
            </w:r>
            <w:r w:rsidR="00491B35" w:rsidRPr="00E026E8">
              <w:rPr>
                <w:sz w:val="18"/>
                <w:szCs w:val="18"/>
              </w:rPr>
              <w:t xml:space="preserve"> del FDI</w:t>
            </w:r>
            <w:r w:rsidR="00FF5EC1" w:rsidRPr="00E026E8">
              <w:rPr>
                <w:sz w:val="18"/>
                <w:szCs w:val="18"/>
              </w:rPr>
              <w:t>.</w:t>
            </w:r>
          </w:p>
          <w:p w14:paraId="66F0E898" w14:textId="753CD610" w:rsidR="004A4E90" w:rsidRPr="00E026E8" w:rsidRDefault="004A4E90" w:rsidP="004A4E90">
            <w:pPr>
              <w:rPr>
                <w:sz w:val="18"/>
                <w:szCs w:val="18"/>
              </w:rPr>
            </w:pPr>
          </w:p>
          <w:p w14:paraId="4E8637EC" w14:textId="77777777" w:rsidR="004A4E90" w:rsidRPr="00E026E8" w:rsidRDefault="004A4E90" w:rsidP="004A4E90">
            <w:pPr>
              <w:rPr>
                <w:sz w:val="18"/>
                <w:szCs w:val="18"/>
              </w:rPr>
            </w:pPr>
          </w:p>
          <w:p w14:paraId="1E3F3A70" w14:textId="2E5ED368" w:rsidR="00FF5EC1" w:rsidRPr="00E026E8" w:rsidRDefault="003805C3" w:rsidP="00FF5EC1">
            <w:pPr>
              <w:rPr>
                <w:sz w:val="18"/>
                <w:szCs w:val="18"/>
              </w:rPr>
            </w:pPr>
            <w:r w:rsidRPr="00E026E8">
              <w:rPr>
                <w:sz w:val="18"/>
                <w:szCs w:val="18"/>
              </w:rPr>
              <w:t>E</w:t>
            </w:r>
            <w:r w:rsidR="004A4E90" w:rsidRPr="00E026E8">
              <w:rPr>
                <w:sz w:val="18"/>
                <w:szCs w:val="18"/>
              </w:rPr>
              <w:t>ntre el 17 y el 24 de julio de 2026</w:t>
            </w:r>
            <w:r w:rsidR="00EC07B1" w:rsidRPr="00E026E8">
              <w:rPr>
                <w:sz w:val="18"/>
                <w:szCs w:val="18"/>
              </w:rPr>
              <w:t xml:space="preserve">, </w:t>
            </w:r>
            <w:r w:rsidR="000B295E">
              <w:rPr>
                <w:sz w:val="18"/>
                <w:szCs w:val="18"/>
              </w:rPr>
              <w:t xml:space="preserve">se publicó la </w:t>
            </w:r>
            <w:r w:rsidR="00FF5EC1" w:rsidRPr="000B295E">
              <w:rPr>
                <w:b/>
                <w:bCs/>
                <w:sz w:val="18"/>
                <w:szCs w:val="18"/>
              </w:rPr>
              <w:t>versión unificada e integral</w:t>
            </w:r>
            <w:r w:rsidR="00FF5EC1" w:rsidRPr="00E026E8">
              <w:rPr>
                <w:sz w:val="18"/>
                <w:szCs w:val="18"/>
              </w:rPr>
              <w:t xml:space="preserve"> del proyecto de circular, que consolida las modificaciones propuestas y contiene las instrucciones que regirán el nuevo esquema del FDI.</w:t>
            </w:r>
          </w:p>
          <w:p w14:paraId="50C3D003" w14:textId="11D68230" w:rsidR="00FF5EC1" w:rsidRPr="00E026E8" w:rsidRDefault="00FF5EC1" w:rsidP="00FF5EC1">
            <w:pPr>
              <w:rPr>
                <w:b/>
                <w:bCs/>
                <w:sz w:val="18"/>
                <w:szCs w:val="18"/>
              </w:rPr>
            </w:pPr>
            <w:r w:rsidRPr="00E026E8">
              <w:rPr>
                <w:sz w:val="18"/>
                <w:szCs w:val="18"/>
              </w:rPr>
              <w:t xml:space="preserve"> </w:t>
            </w:r>
          </w:p>
          <w:p w14:paraId="65374395" w14:textId="77777777" w:rsidR="00C723B0" w:rsidRPr="00E026E8" w:rsidRDefault="00C723B0" w:rsidP="004A4E90">
            <w:pPr>
              <w:rPr>
                <w:sz w:val="18"/>
                <w:szCs w:val="18"/>
              </w:rPr>
            </w:pPr>
          </w:p>
          <w:p w14:paraId="6D6809EC" w14:textId="11DD040C" w:rsidR="00F529F4" w:rsidRPr="00E026E8" w:rsidRDefault="00F529F4" w:rsidP="00F529F4">
            <w:pPr>
              <w:rPr>
                <w:sz w:val="18"/>
                <w:szCs w:val="18"/>
              </w:rPr>
            </w:pPr>
          </w:p>
        </w:tc>
        <w:tc>
          <w:tcPr>
            <w:tcW w:w="2977" w:type="dxa"/>
            <w:tcBorders>
              <w:top w:val="single" w:sz="4" w:space="0" w:color="auto"/>
              <w:left w:val="single" w:sz="4" w:space="0" w:color="auto"/>
              <w:bottom w:val="single" w:sz="4" w:space="0" w:color="auto"/>
              <w:right w:val="single" w:sz="4" w:space="0" w:color="auto"/>
            </w:tcBorders>
            <w:hideMark/>
          </w:tcPr>
          <w:p w14:paraId="3E0D854C" w14:textId="77777777" w:rsidR="004A4E90" w:rsidRPr="00E026E8" w:rsidRDefault="004A4E90" w:rsidP="00F529F4">
            <w:pPr>
              <w:ind w:left="0" w:firstLine="0"/>
              <w:rPr>
                <w:sz w:val="18"/>
                <w:szCs w:val="18"/>
              </w:rPr>
            </w:pPr>
          </w:p>
          <w:p w14:paraId="4B519AD8" w14:textId="26E75890" w:rsidR="00F529F4" w:rsidRPr="00E026E8" w:rsidRDefault="00D17228" w:rsidP="00F529F4">
            <w:pPr>
              <w:ind w:left="0" w:firstLine="0"/>
              <w:rPr>
                <w:sz w:val="18"/>
                <w:szCs w:val="18"/>
              </w:rPr>
            </w:pPr>
            <w:r w:rsidRPr="00E026E8">
              <w:rPr>
                <w:sz w:val="18"/>
                <w:szCs w:val="18"/>
              </w:rPr>
              <w:t>Se recibieron comentarios</w:t>
            </w:r>
            <w:r w:rsidR="00083070" w:rsidRPr="00E026E8">
              <w:rPr>
                <w:sz w:val="18"/>
                <w:szCs w:val="18"/>
              </w:rPr>
              <w:t xml:space="preserve"> de las entidades relacionadas en el archivo adjunto.</w:t>
            </w:r>
          </w:p>
        </w:tc>
        <w:tc>
          <w:tcPr>
            <w:tcW w:w="4678" w:type="dxa"/>
            <w:tcBorders>
              <w:top w:val="single" w:sz="4" w:space="0" w:color="auto"/>
              <w:left w:val="single" w:sz="4" w:space="0" w:color="auto"/>
              <w:bottom w:val="single" w:sz="4" w:space="0" w:color="auto"/>
              <w:right w:val="single" w:sz="4" w:space="0" w:color="auto"/>
            </w:tcBorders>
          </w:tcPr>
          <w:p w14:paraId="409A5840" w14:textId="77777777" w:rsidR="00D56A8F" w:rsidRPr="00E026E8" w:rsidRDefault="00D56A8F" w:rsidP="00D56A8F">
            <w:pPr>
              <w:pStyle w:val="Prrafodelista"/>
              <w:ind w:left="720"/>
              <w:jc w:val="both"/>
              <w:rPr>
                <w:rFonts w:ascii="Arial" w:hAnsi="Arial" w:cs="Arial"/>
                <w:bCs/>
                <w:sz w:val="18"/>
                <w:szCs w:val="18"/>
                <w:lang w:val="es-CO" w:eastAsia="es-CO"/>
              </w:rPr>
            </w:pPr>
          </w:p>
          <w:p w14:paraId="2B29F07E" w14:textId="149F3E32" w:rsidR="001C1EF2" w:rsidRPr="00E026E8" w:rsidRDefault="00F15C11" w:rsidP="00857E92">
            <w:pPr>
              <w:pStyle w:val="Prrafodelista"/>
              <w:numPr>
                <w:ilvl w:val="0"/>
                <w:numId w:val="2"/>
              </w:numPr>
              <w:ind w:left="-55"/>
              <w:contextualSpacing/>
              <w:jc w:val="both"/>
              <w:rPr>
                <w:rFonts w:ascii="Arial" w:hAnsi="Arial" w:cs="Arial"/>
                <w:sz w:val="18"/>
                <w:szCs w:val="18"/>
                <w:lang w:val="es-CO"/>
              </w:rPr>
            </w:pPr>
            <w:r w:rsidRPr="00E026E8">
              <w:rPr>
                <w:rFonts w:ascii="Arial" w:hAnsi="Arial" w:cs="Arial"/>
                <w:bCs/>
                <w:sz w:val="18"/>
                <w:szCs w:val="18"/>
                <w:lang w:val="es-CO"/>
              </w:rPr>
              <w:t>a)</w:t>
            </w:r>
            <w:r w:rsidRPr="00E026E8">
              <w:rPr>
                <w:rFonts w:ascii="Arial" w:hAnsi="Arial" w:cs="Arial"/>
                <w:b/>
                <w:sz w:val="18"/>
                <w:szCs w:val="18"/>
                <w:lang w:val="es-CO"/>
              </w:rPr>
              <w:t xml:space="preserve"> </w:t>
            </w:r>
            <w:r w:rsidR="00F529F4" w:rsidRPr="00E026E8">
              <w:rPr>
                <w:rFonts w:ascii="Arial" w:hAnsi="Arial" w:cs="Arial"/>
                <w:b/>
                <w:sz w:val="18"/>
                <w:szCs w:val="18"/>
                <w:lang w:val="es-CO"/>
              </w:rPr>
              <w:t>Análisis de los comentarios recibidos.</w:t>
            </w:r>
            <w:r w:rsidR="00884B19" w:rsidRPr="00E026E8">
              <w:rPr>
                <w:rFonts w:ascii="Arial" w:hAnsi="Arial" w:cs="Arial"/>
                <w:b/>
                <w:sz w:val="18"/>
                <w:szCs w:val="18"/>
                <w:lang w:val="es-CO"/>
              </w:rPr>
              <w:t xml:space="preserve"> </w:t>
            </w:r>
            <w:r w:rsidR="00810231" w:rsidRPr="00E026E8">
              <w:rPr>
                <w:rFonts w:ascii="Arial" w:hAnsi="Arial" w:cs="Arial"/>
                <w:bCs/>
                <w:sz w:val="18"/>
                <w:szCs w:val="18"/>
                <w:lang w:val="es-CO"/>
              </w:rPr>
              <w:t>Adjunto se encuentra un archivo con el análisis de los comentarios recibidos.</w:t>
            </w:r>
            <w:r w:rsidR="001C1EF2" w:rsidRPr="00E026E8">
              <w:rPr>
                <w:rFonts w:ascii="Arial" w:hAnsi="Arial" w:cs="Arial"/>
                <w:bCs/>
                <w:sz w:val="18"/>
                <w:szCs w:val="18"/>
                <w:lang w:val="es-CO"/>
              </w:rPr>
              <w:t xml:space="preserve"> </w:t>
            </w:r>
          </w:p>
          <w:p w14:paraId="1168FE4E" w14:textId="77777777" w:rsidR="001C1EF2" w:rsidRPr="00E026E8" w:rsidRDefault="001C1EF2" w:rsidP="00857E92">
            <w:pPr>
              <w:pStyle w:val="Prrafodelista"/>
              <w:numPr>
                <w:ilvl w:val="0"/>
                <w:numId w:val="2"/>
              </w:numPr>
              <w:ind w:left="-55"/>
              <w:contextualSpacing/>
              <w:jc w:val="both"/>
              <w:rPr>
                <w:rFonts w:ascii="Arial" w:hAnsi="Arial" w:cs="Arial"/>
                <w:sz w:val="18"/>
                <w:szCs w:val="18"/>
                <w:lang w:val="es-CO"/>
              </w:rPr>
            </w:pPr>
          </w:p>
          <w:p w14:paraId="1BE2E399" w14:textId="2FE23708" w:rsidR="00857E92" w:rsidRPr="00E026E8" w:rsidRDefault="00F15C11" w:rsidP="00857E92">
            <w:pPr>
              <w:pStyle w:val="Prrafodelista"/>
              <w:numPr>
                <w:ilvl w:val="0"/>
                <w:numId w:val="2"/>
              </w:numPr>
              <w:ind w:left="-55"/>
              <w:contextualSpacing/>
              <w:jc w:val="both"/>
              <w:rPr>
                <w:rFonts w:ascii="Arial" w:hAnsi="Arial" w:cs="Arial"/>
                <w:sz w:val="18"/>
                <w:szCs w:val="18"/>
                <w:lang w:val="es-CO"/>
              </w:rPr>
            </w:pPr>
            <w:r w:rsidRPr="00E026E8">
              <w:rPr>
                <w:rFonts w:ascii="Arial" w:hAnsi="Arial" w:cs="Arial"/>
                <w:bCs/>
                <w:sz w:val="18"/>
                <w:szCs w:val="18"/>
                <w:lang w:val="es-CO" w:eastAsia="es-CO"/>
              </w:rPr>
              <w:t>b)</w:t>
            </w:r>
            <w:r w:rsidRPr="00E026E8">
              <w:rPr>
                <w:rFonts w:ascii="Arial" w:hAnsi="Arial" w:cs="Arial"/>
                <w:b/>
                <w:sz w:val="18"/>
                <w:szCs w:val="18"/>
                <w:lang w:val="es-CO" w:eastAsia="es-CO"/>
              </w:rPr>
              <w:t xml:space="preserve"> </w:t>
            </w:r>
            <w:r w:rsidR="00F529F4" w:rsidRPr="00E026E8">
              <w:rPr>
                <w:rFonts w:ascii="Arial" w:hAnsi="Arial" w:cs="Arial"/>
                <w:b/>
                <w:sz w:val="18"/>
                <w:szCs w:val="18"/>
                <w:lang w:val="es-CO" w:eastAsia="es-CO"/>
              </w:rPr>
              <w:t>Antecedentes y razones de oportunidad del proyecto normativo:</w:t>
            </w:r>
            <w:r w:rsidR="00F529F4" w:rsidRPr="00E026E8">
              <w:rPr>
                <w:rFonts w:ascii="Arial" w:hAnsi="Arial" w:cs="Arial"/>
                <w:sz w:val="18"/>
                <w:szCs w:val="18"/>
                <w:lang w:val="es-CO" w:eastAsia="es-CO"/>
              </w:rPr>
              <w:t xml:space="preserve"> </w:t>
            </w:r>
            <w:r w:rsidR="00857E92" w:rsidRPr="00E026E8">
              <w:rPr>
                <w:rFonts w:ascii="Arial" w:hAnsi="Arial" w:cs="Arial"/>
                <w:sz w:val="18"/>
                <w:szCs w:val="18"/>
                <w:lang w:val="es-CO"/>
              </w:rPr>
              <w:t>Fogafín, en el marco de su estrategia de transformación y optimización tecnológica y analítica, tomó la decisión de iniciar un proyecto de diagnóstico y ajuste integral al Formato de Depósitos Individuales (FDI), que constituye la principal fuente de información de los depositantes, necesaria para que Fogafín pueda dar cumplimiento a su misión como asegurador de depósitos en Colombia de manera eficiente y efectiva.</w:t>
            </w:r>
          </w:p>
          <w:p w14:paraId="6A422DC9" w14:textId="77777777" w:rsidR="00857E92" w:rsidRPr="00E026E8" w:rsidRDefault="00857E92" w:rsidP="00857E92">
            <w:pPr>
              <w:ind w:left="-55"/>
              <w:rPr>
                <w:sz w:val="18"/>
                <w:szCs w:val="18"/>
              </w:rPr>
            </w:pPr>
          </w:p>
          <w:p w14:paraId="07E3639F" w14:textId="77777777" w:rsidR="00857E92" w:rsidRPr="00E026E8" w:rsidRDefault="00857E92" w:rsidP="00857E92">
            <w:pPr>
              <w:ind w:left="-55"/>
              <w:rPr>
                <w:sz w:val="18"/>
                <w:szCs w:val="18"/>
              </w:rPr>
            </w:pPr>
            <w:r w:rsidRPr="00E026E8">
              <w:rPr>
                <w:sz w:val="18"/>
                <w:szCs w:val="18"/>
              </w:rPr>
              <w:t xml:space="preserve">Lo anterior, para efectos de diseñar e implementar una solución tecnológica para la transmisión, validación, procesamiento, almacenamiento y consulta de la información contenida en dicho FDI, lo cual redundará en eficiencias operativas para la industria y Fogafín. </w:t>
            </w:r>
          </w:p>
          <w:p w14:paraId="397177F2" w14:textId="77777777" w:rsidR="00857E92" w:rsidRPr="00E026E8" w:rsidRDefault="00857E92" w:rsidP="00857E92">
            <w:pPr>
              <w:ind w:left="-55"/>
              <w:rPr>
                <w:sz w:val="18"/>
                <w:szCs w:val="18"/>
              </w:rPr>
            </w:pPr>
          </w:p>
          <w:p w14:paraId="40FEACB6" w14:textId="59084D84" w:rsidR="00083070" w:rsidRPr="00E026E8" w:rsidRDefault="00857E92" w:rsidP="00083070">
            <w:pPr>
              <w:ind w:left="-55"/>
              <w:rPr>
                <w:sz w:val="18"/>
                <w:szCs w:val="18"/>
              </w:rPr>
            </w:pPr>
            <w:r w:rsidRPr="00E026E8">
              <w:rPr>
                <w:sz w:val="18"/>
                <w:szCs w:val="18"/>
              </w:rPr>
              <w:t xml:space="preserve">A su vez este proyecto incorpora ajustes de contenido y estructura que permitan al Fondo contar con procesos analíticos de información robusta </w:t>
            </w:r>
            <w:r w:rsidR="000B295E">
              <w:rPr>
                <w:sz w:val="18"/>
                <w:szCs w:val="18"/>
              </w:rPr>
              <w:t>para efectos de</w:t>
            </w:r>
            <w:r w:rsidRPr="00E026E8">
              <w:rPr>
                <w:sz w:val="18"/>
                <w:szCs w:val="18"/>
              </w:rPr>
              <w:t xml:space="preserve"> mejorar los tiempos de respuesta y preparación ex ante, en línea con las mejores prácticas y estándares internacionales.</w:t>
            </w:r>
            <w:r w:rsidR="00083070" w:rsidRPr="00E026E8">
              <w:rPr>
                <w:sz w:val="18"/>
                <w:szCs w:val="18"/>
              </w:rPr>
              <w:t xml:space="preserve"> </w:t>
            </w:r>
          </w:p>
          <w:p w14:paraId="4D41A3D5" w14:textId="77777777" w:rsidR="00083070" w:rsidRPr="00E026E8" w:rsidRDefault="00083070" w:rsidP="00083070">
            <w:pPr>
              <w:ind w:left="-55"/>
              <w:rPr>
                <w:sz w:val="18"/>
                <w:szCs w:val="18"/>
              </w:rPr>
            </w:pPr>
          </w:p>
          <w:p w14:paraId="1E4BE2F2" w14:textId="763A7D72" w:rsidR="00083070" w:rsidRPr="00E026E8" w:rsidRDefault="00F15C11" w:rsidP="00083070">
            <w:pPr>
              <w:ind w:left="-55"/>
              <w:rPr>
                <w:sz w:val="18"/>
                <w:szCs w:val="18"/>
              </w:rPr>
            </w:pPr>
            <w:r w:rsidRPr="00E026E8">
              <w:rPr>
                <w:sz w:val="18"/>
                <w:szCs w:val="18"/>
              </w:rPr>
              <w:lastRenderedPageBreak/>
              <w:t>c</w:t>
            </w:r>
            <w:r w:rsidR="00083070" w:rsidRPr="00E026E8">
              <w:rPr>
                <w:sz w:val="18"/>
                <w:szCs w:val="18"/>
              </w:rPr>
              <w:t xml:space="preserve">) </w:t>
            </w:r>
            <w:r w:rsidR="00F529F4" w:rsidRPr="00E026E8">
              <w:rPr>
                <w:b/>
                <w:sz w:val="18"/>
                <w:szCs w:val="18"/>
              </w:rPr>
              <w:t>Normas que otorgan competencia para la expedición de la norma:</w:t>
            </w:r>
            <w:r w:rsidR="00F529F4" w:rsidRPr="00E026E8">
              <w:rPr>
                <w:sz w:val="18"/>
                <w:szCs w:val="18"/>
              </w:rPr>
              <w:t xml:space="preserve"> </w:t>
            </w:r>
            <w:r w:rsidR="00D17228" w:rsidRPr="00E026E8">
              <w:rPr>
                <w:sz w:val="18"/>
                <w:szCs w:val="18"/>
              </w:rPr>
              <w:t xml:space="preserve">Artículo </w:t>
            </w:r>
            <w:r w:rsidR="00083070" w:rsidRPr="00E026E8">
              <w:rPr>
                <w:sz w:val="18"/>
                <w:szCs w:val="18"/>
              </w:rPr>
              <w:t>Decimosé</w:t>
            </w:r>
            <w:r w:rsidRPr="00E026E8">
              <w:rPr>
                <w:sz w:val="18"/>
                <w:szCs w:val="18"/>
              </w:rPr>
              <w:t>p</w:t>
            </w:r>
            <w:r w:rsidR="00083070" w:rsidRPr="00E026E8">
              <w:rPr>
                <w:sz w:val="18"/>
                <w:szCs w:val="18"/>
              </w:rPr>
              <w:t xml:space="preserve">timo </w:t>
            </w:r>
            <w:r w:rsidR="00D17228" w:rsidRPr="00E026E8">
              <w:rPr>
                <w:sz w:val="18"/>
                <w:szCs w:val="18"/>
              </w:rPr>
              <w:t>de la Resolución 001 de 2026</w:t>
            </w:r>
            <w:r w:rsidR="00B76895" w:rsidRPr="00E026E8">
              <w:rPr>
                <w:sz w:val="18"/>
                <w:szCs w:val="18"/>
              </w:rPr>
              <w:t xml:space="preserve"> y </w:t>
            </w:r>
            <w:r w:rsidR="00083070" w:rsidRPr="00E026E8">
              <w:rPr>
                <w:sz w:val="18"/>
                <w:szCs w:val="18"/>
              </w:rPr>
              <w:t>Artículo Decimocuarto de la Resolución No. 002 de 2026</w:t>
            </w:r>
            <w:r w:rsidR="00AF3BE0" w:rsidRPr="00E026E8">
              <w:rPr>
                <w:sz w:val="18"/>
                <w:szCs w:val="18"/>
              </w:rPr>
              <w:t>.</w:t>
            </w:r>
            <w:r w:rsidR="00083070" w:rsidRPr="00E026E8">
              <w:rPr>
                <w:sz w:val="18"/>
                <w:szCs w:val="18"/>
              </w:rPr>
              <w:t xml:space="preserve"> </w:t>
            </w:r>
          </w:p>
          <w:p w14:paraId="307395AF" w14:textId="77777777" w:rsidR="00083070" w:rsidRPr="00E026E8" w:rsidRDefault="00083070" w:rsidP="00083070">
            <w:pPr>
              <w:ind w:left="-55"/>
              <w:rPr>
                <w:sz w:val="18"/>
                <w:szCs w:val="18"/>
              </w:rPr>
            </w:pPr>
          </w:p>
          <w:p w14:paraId="611B1780" w14:textId="77777777" w:rsidR="007A54AB" w:rsidRPr="00E026E8" w:rsidRDefault="00F15C11" w:rsidP="007A54AB">
            <w:pPr>
              <w:ind w:left="-55"/>
              <w:rPr>
                <w:sz w:val="18"/>
                <w:szCs w:val="18"/>
              </w:rPr>
            </w:pPr>
            <w:r w:rsidRPr="00E026E8">
              <w:rPr>
                <w:sz w:val="18"/>
                <w:szCs w:val="18"/>
              </w:rPr>
              <w:t xml:space="preserve">d) </w:t>
            </w:r>
            <w:r w:rsidR="00F529F4" w:rsidRPr="00E026E8">
              <w:rPr>
                <w:b/>
                <w:bCs/>
                <w:sz w:val="18"/>
                <w:szCs w:val="18"/>
              </w:rPr>
              <w:t>Disposiciones derogadas, subrogadas, modificadas, adicionadas o sustituidas</w:t>
            </w:r>
            <w:r w:rsidR="00F529F4" w:rsidRPr="00E026E8">
              <w:rPr>
                <w:sz w:val="18"/>
                <w:szCs w:val="18"/>
              </w:rPr>
              <w:t xml:space="preserve">: </w:t>
            </w:r>
            <w:r w:rsidR="008532EA" w:rsidRPr="00E026E8">
              <w:rPr>
                <w:sz w:val="18"/>
                <w:szCs w:val="18"/>
              </w:rPr>
              <w:t>Esta C</w:t>
            </w:r>
            <w:r w:rsidR="00AF3BE0" w:rsidRPr="00E026E8">
              <w:rPr>
                <w:sz w:val="18"/>
                <w:szCs w:val="18"/>
              </w:rPr>
              <w:t xml:space="preserve">ircular </w:t>
            </w:r>
            <w:r w:rsidR="007A54AB" w:rsidRPr="00E026E8">
              <w:rPr>
                <w:sz w:val="18"/>
                <w:szCs w:val="18"/>
              </w:rPr>
              <w:t xml:space="preserve">entrará en vigor de conformidad con lo previsto a continuación: </w:t>
            </w:r>
          </w:p>
          <w:p w14:paraId="23097A48" w14:textId="77777777" w:rsidR="007A54AB" w:rsidRPr="00E026E8" w:rsidRDefault="007A54AB" w:rsidP="007A54AB">
            <w:pPr>
              <w:ind w:left="-55"/>
              <w:rPr>
                <w:sz w:val="18"/>
                <w:szCs w:val="18"/>
              </w:rPr>
            </w:pPr>
          </w:p>
          <w:p w14:paraId="490E2E62" w14:textId="77777777" w:rsidR="007A54AB" w:rsidRPr="00E026E8" w:rsidRDefault="007A54AB" w:rsidP="007A54AB">
            <w:pPr>
              <w:ind w:left="-55"/>
              <w:rPr>
                <w:sz w:val="18"/>
                <w:szCs w:val="18"/>
              </w:rPr>
            </w:pPr>
            <w:r w:rsidRPr="00E026E8">
              <w:rPr>
                <w:sz w:val="18"/>
                <w:szCs w:val="18"/>
              </w:rPr>
              <w:t>- El primer inciso del numeral 2 entrará en vigor a partir de enero de 2027.</w:t>
            </w:r>
          </w:p>
          <w:p w14:paraId="5D1E1A1A" w14:textId="27F43DEB" w:rsidR="007A54AB" w:rsidRPr="00E026E8" w:rsidRDefault="007A54AB" w:rsidP="007A54AB">
            <w:pPr>
              <w:ind w:left="-55"/>
              <w:rPr>
                <w:sz w:val="18"/>
                <w:szCs w:val="18"/>
              </w:rPr>
            </w:pPr>
            <w:r w:rsidRPr="00E026E8">
              <w:rPr>
                <w:sz w:val="18"/>
                <w:szCs w:val="18"/>
              </w:rPr>
              <w:t xml:space="preserve"> -La Circular entrará en vigor a partir de abril de 2027 para las entidades Grupo 1 y a partir de julio de 2027 para las entidades Grupo 2, sin perjuicio de dar cumplimiento a lo dispuesto en el numeral 10, es decir, durante el periodo de reporte simultáneo previsto en ese numeral, las Circulares Externas 002 y 003 de 2024 continuarán vigentes exclusivamente para efectos de la generación, transmisión y validación del FDI establecido en dichas circulares.</w:t>
            </w:r>
          </w:p>
          <w:p w14:paraId="04F845EB" w14:textId="77777777" w:rsidR="007A54AB" w:rsidRPr="00E026E8" w:rsidRDefault="007A54AB" w:rsidP="007A54AB">
            <w:pPr>
              <w:ind w:left="-55"/>
              <w:rPr>
                <w:sz w:val="18"/>
                <w:szCs w:val="18"/>
              </w:rPr>
            </w:pPr>
            <w:r w:rsidRPr="00E026E8">
              <w:rPr>
                <w:sz w:val="18"/>
                <w:szCs w:val="18"/>
              </w:rPr>
              <w:t xml:space="preserve">-A partir del reporte correspondiente al mes de enero de 2028, con información al corte del 31 de diciembre de 2027, las entidades inscritas deberán remitir únicamente el FDI regulado en la Circular. </w:t>
            </w:r>
          </w:p>
          <w:p w14:paraId="473E8DD6" w14:textId="77777777" w:rsidR="007A54AB" w:rsidRPr="00E026E8" w:rsidRDefault="007A54AB" w:rsidP="007A54AB">
            <w:pPr>
              <w:ind w:left="-55"/>
              <w:rPr>
                <w:sz w:val="18"/>
                <w:szCs w:val="18"/>
              </w:rPr>
            </w:pPr>
          </w:p>
          <w:p w14:paraId="5212494C" w14:textId="45D4313E" w:rsidR="007A54AB" w:rsidRPr="00E026E8" w:rsidRDefault="007A54AB" w:rsidP="007A54AB">
            <w:pPr>
              <w:ind w:left="-55"/>
              <w:rPr>
                <w:sz w:val="18"/>
                <w:szCs w:val="18"/>
              </w:rPr>
            </w:pPr>
            <w:r w:rsidRPr="00E026E8">
              <w:rPr>
                <w:sz w:val="18"/>
                <w:szCs w:val="18"/>
              </w:rPr>
              <w:t>En consecuencia, a partir de esa fecha quedarán derogadas las Circulares Externas 002 y 003 de 2024 y las demás disposiciones que le sean contrarias.</w:t>
            </w:r>
          </w:p>
        </w:tc>
      </w:tr>
    </w:tbl>
    <w:p w14:paraId="32980A22" w14:textId="74B9897F" w:rsidR="001766AF" w:rsidRDefault="001766AF" w:rsidP="00AC4767">
      <w:pPr>
        <w:spacing w:line="259" w:lineRule="auto"/>
        <w:ind w:left="129" w:right="1"/>
        <w:jc w:val="center"/>
      </w:pPr>
    </w:p>
    <w:sectPr w:rsidR="001766AF" w:rsidSect="00AC4767">
      <w:headerReference w:type="default" r:id="rId8"/>
      <w:footnotePr>
        <w:numRestart w:val="eachPage"/>
      </w:footnotePr>
      <w:type w:val="continuous"/>
      <w:pgSz w:w="20160" w:h="12240" w:orient="landscape" w:code="5"/>
      <w:pgMar w:top="1578" w:right="691" w:bottom="1415" w:left="91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C34E" w14:textId="77777777" w:rsidR="0089433F" w:rsidRDefault="0089433F">
      <w:pPr>
        <w:spacing w:line="240" w:lineRule="auto"/>
      </w:pPr>
      <w:r>
        <w:separator/>
      </w:r>
    </w:p>
  </w:endnote>
  <w:endnote w:type="continuationSeparator" w:id="0">
    <w:p w14:paraId="602992DB" w14:textId="77777777" w:rsidR="0089433F" w:rsidRDefault="00894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8FE0" w14:textId="77777777" w:rsidR="0089433F" w:rsidRDefault="0089433F">
      <w:pPr>
        <w:spacing w:after="29" w:line="257" w:lineRule="auto"/>
        <w:ind w:left="124" w:firstLine="0"/>
      </w:pPr>
      <w:r>
        <w:separator/>
      </w:r>
    </w:p>
  </w:footnote>
  <w:footnote w:type="continuationSeparator" w:id="0">
    <w:p w14:paraId="36B7632D" w14:textId="77777777" w:rsidR="0089433F" w:rsidRDefault="0089433F">
      <w:pPr>
        <w:spacing w:after="29" w:line="257" w:lineRule="auto"/>
        <w:ind w:left="124"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FBA9" w14:textId="783F68C4" w:rsidR="001715EE" w:rsidRPr="0006074A" w:rsidRDefault="007A6BDC" w:rsidP="0006074A">
    <w:pPr>
      <w:pStyle w:val="Encabezado"/>
      <w:jc w:val="center"/>
    </w:pPr>
    <w:r>
      <w:rPr>
        <w:noProof/>
        <w:lang w:val="es-ES"/>
      </w:rPr>
      <w:drawing>
        <wp:inline distT="0" distB="0" distL="0" distR="0" wp14:anchorId="33A3169F" wp14:editId="12A7AF80">
          <wp:extent cx="3897000" cy="900000"/>
          <wp:effectExtent l="0" t="0" r="1905" b="1905"/>
          <wp:docPr id="1263209407" name="Imagen 3"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9407" name="Imagen 3" descr="Logotip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389700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D453F"/>
    <w:multiLevelType w:val="hybridMultilevel"/>
    <w:tmpl w:val="CEAACFB6"/>
    <w:lvl w:ilvl="0" w:tplc="240A0017">
      <w:start w:val="1"/>
      <w:numFmt w:val="lowerLetter"/>
      <w:lvlText w:val="%1)"/>
      <w:lvlJc w:val="left"/>
      <w:pPr>
        <w:ind w:left="720" w:hanging="360"/>
      </w:pPr>
    </w:lvl>
    <w:lvl w:ilvl="1" w:tplc="240A001B">
      <w:start w:val="1"/>
      <w:numFmt w:val="lowerRoman"/>
      <w:lvlText w:val="%2."/>
      <w:lvlJc w:val="right"/>
      <w:pPr>
        <w:ind w:left="1440" w:hanging="360"/>
      </w:pPr>
    </w:lvl>
    <w:lvl w:ilvl="2" w:tplc="240A000D">
      <w:start w:val="1"/>
      <w:numFmt w:val="bullet"/>
      <w:lvlText w:val=""/>
      <w:lvlJc w:val="left"/>
      <w:pPr>
        <w:ind w:left="2160" w:hanging="180"/>
      </w:pPr>
      <w:rPr>
        <w:rFonts w:ascii="Wingdings" w:hAnsi="Wingdings" w:hint="default"/>
      </w:r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45CF65F2"/>
    <w:multiLevelType w:val="hybridMultilevel"/>
    <w:tmpl w:val="6750BE22"/>
    <w:lvl w:ilvl="0" w:tplc="53E618CA">
      <w:start w:val="5"/>
      <w:numFmt w:val="lowerLetter"/>
      <w:lvlText w:val="%1)"/>
      <w:lvlJc w:val="left"/>
      <w:pPr>
        <w:ind w:left="484" w:hanging="360"/>
      </w:pPr>
      <w:rPr>
        <w:rFonts w:hint="default"/>
      </w:rPr>
    </w:lvl>
    <w:lvl w:ilvl="1" w:tplc="240A0019" w:tentative="1">
      <w:start w:val="1"/>
      <w:numFmt w:val="lowerLetter"/>
      <w:lvlText w:val="%2."/>
      <w:lvlJc w:val="left"/>
      <w:pPr>
        <w:ind w:left="1204" w:hanging="360"/>
      </w:pPr>
    </w:lvl>
    <w:lvl w:ilvl="2" w:tplc="240A001B" w:tentative="1">
      <w:start w:val="1"/>
      <w:numFmt w:val="lowerRoman"/>
      <w:lvlText w:val="%3."/>
      <w:lvlJc w:val="right"/>
      <w:pPr>
        <w:ind w:left="1924" w:hanging="180"/>
      </w:pPr>
    </w:lvl>
    <w:lvl w:ilvl="3" w:tplc="240A000F" w:tentative="1">
      <w:start w:val="1"/>
      <w:numFmt w:val="decimal"/>
      <w:lvlText w:val="%4."/>
      <w:lvlJc w:val="left"/>
      <w:pPr>
        <w:ind w:left="2644" w:hanging="360"/>
      </w:pPr>
    </w:lvl>
    <w:lvl w:ilvl="4" w:tplc="240A0019" w:tentative="1">
      <w:start w:val="1"/>
      <w:numFmt w:val="lowerLetter"/>
      <w:lvlText w:val="%5."/>
      <w:lvlJc w:val="left"/>
      <w:pPr>
        <w:ind w:left="3364" w:hanging="360"/>
      </w:pPr>
    </w:lvl>
    <w:lvl w:ilvl="5" w:tplc="240A001B" w:tentative="1">
      <w:start w:val="1"/>
      <w:numFmt w:val="lowerRoman"/>
      <w:lvlText w:val="%6."/>
      <w:lvlJc w:val="right"/>
      <w:pPr>
        <w:ind w:left="4084" w:hanging="180"/>
      </w:pPr>
    </w:lvl>
    <w:lvl w:ilvl="6" w:tplc="240A000F" w:tentative="1">
      <w:start w:val="1"/>
      <w:numFmt w:val="decimal"/>
      <w:lvlText w:val="%7."/>
      <w:lvlJc w:val="left"/>
      <w:pPr>
        <w:ind w:left="4804" w:hanging="360"/>
      </w:pPr>
    </w:lvl>
    <w:lvl w:ilvl="7" w:tplc="240A0019" w:tentative="1">
      <w:start w:val="1"/>
      <w:numFmt w:val="lowerLetter"/>
      <w:lvlText w:val="%8."/>
      <w:lvlJc w:val="left"/>
      <w:pPr>
        <w:ind w:left="5524" w:hanging="360"/>
      </w:pPr>
    </w:lvl>
    <w:lvl w:ilvl="8" w:tplc="240A001B" w:tentative="1">
      <w:start w:val="1"/>
      <w:numFmt w:val="lowerRoman"/>
      <w:lvlText w:val="%9."/>
      <w:lvlJc w:val="right"/>
      <w:pPr>
        <w:ind w:left="6244" w:hanging="180"/>
      </w:pPr>
    </w:lvl>
  </w:abstractNum>
  <w:abstractNum w:abstractNumId="2" w15:restartNumberingAfterBreak="0">
    <w:nsid w:val="6FBC4E0F"/>
    <w:multiLevelType w:val="hybridMultilevel"/>
    <w:tmpl w:val="E3EC8B9C"/>
    <w:lvl w:ilvl="0" w:tplc="240A0001">
      <w:start w:val="1"/>
      <w:numFmt w:val="bullet"/>
      <w:lvlText w:val=""/>
      <w:lvlJc w:val="left"/>
      <w:pPr>
        <w:ind w:left="844" w:hanging="360"/>
      </w:pPr>
      <w:rPr>
        <w:rFonts w:ascii="Symbol" w:hAnsi="Symbol" w:hint="default"/>
      </w:rPr>
    </w:lvl>
    <w:lvl w:ilvl="1" w:tplc="240A0003" w:tentative="1">
      <w:start w:val="1"/>
      <w:numFmt w:val="bullet"/>
      <w:lvlText w:val="o"/>
      <w:lvlJc w:val="left"/>
      <w:pPr>
        <w:ind w:left="1564" w:hanging="360"/>
      </w:pPr>
      <w:rPr>
        <w:rFonts w:ascii="Courier New" w:hAnsi="Courier New" w:cs="Courier New" w:hint="default"/>
      </w:rPr>
    </w:lvl>
    <w:lvl w:ilvl="2" w:tplc="240A0005" w:tentative="1">
      <w:start w:val="1"/>
      <w:numFmt w:val="bullet"/>
      <w:lvlText w:val=""/>
      <w:lvlJc w:val="left"/>
      <w:pPr>
        <w:ind w:left="2284" w:hanging="360"/>
      </w:pPr>
      <w:rPr>
        <w:rFonts w:ascii="Wingdings" w:hAnsi="Wingdings" w:hint="default"/>
      </w:rPr>
    </w:lvl>
    <w:lvl w:ilvl="3" w:tplc="240A0001" w:tentative="1">
      <w:start w:val="1"/>
      <w:numFmt w:val="bullet"/>
      <w:lvlText w:val=""/>
      <w:lvlJc w:val="left"/>
      <w:pPr>
        <w:ind w:left="3004" w:hanging="360"/>
      </w:pPr>
      <w:rPr>
        <w:rFonts w:ascii="Symbol" w:hAnsi="Symbol" w:hint="default"/>
      </w:rPr>
    </w:lvl>
    <w:lvl w:ilvl="4" w:tplc="240A0003" w:tentative="1">
      <w:start w:val="1"/>
      <w:numFmt w:val="bullet"/>
      <w:lvlText w:val="o"/>
      <w:lvlJc w:val="left"/>
      <w:pPr>
        <w:ind w:left="3724" w:hanging="360"/>
      </w:pPr>
      <w:rPr>
        <w:rFonts w:ascii="Courier New" w:hAnsi="Courier New" w:cs="Courier New" w:hint="default"/>
      </w:rPr>
    </w:lvl>
    <w:lvl w:ilvl="5" w:tplc="240A0005" w:tentative="1">
      <w:start w:val="1"/>
      <w:numFmt w:val="bullet"/>
      <w:lvlText w:val=""/>
      <w:lvlJc w:val="left"/>
      <w:pPr>
        <w:ind w:left="4444" w:hanging="360"/>
      </w:pPr>
      <w:rPr>
        <w:rFonts w:ascii="Wingdings" w:hAnsi="Wingdings" w:hint="default"/>
      </w:rPr>
    </w:lvl>
    <w:lvl w:ilvl="6" w:tplc="240A0001" w:tentative="1">
      <w:start w:val="1"/>
      <w:numFmt w:val="bullet"/>
      <w:lvlText w:val=""/>
      <w:lvlJc w:val="left"/>
      <w:pPr>
        <w:ind w:left="5164" w:hanging="360"/>
      </w:pPr>
      <w:rPr>
        <w:rFonts w:ascii="Symbol" w:hAnsi="Symbol" w:hint="default"/>
      </w:rPr>
    </w:lvl>
    <w:lvl w:ilvl="7" w:tplc="240A0003" w:tentative="1">
      <w:start w:val="1"/>
      <w:numFmt w:val="bullet"/>
      <w:lvlText w:val="o"/>
      <w:lvlJc w:val="left"/>
      <w:pPr>
        <w:ind w:left="5884" w:hanging="360"/>
      </w:pPr>
      <w:rPr>
        <w:rFonts w:ascii="Courier New" w:hAnsi="Courier New" w:cs="Courier New" w:hint="default"/>
      </w:rPr>
    </w:lvl>
    <w:lvl w:ilvl="8" w:tplc="240A0005" w:tentative="1">
      <w:start w:val="1"/>
      <w:numFmt w:val="bullet"/>
      <w:lvlText w:val=""/>
      <w:lvlJc w:val="left"/>
      <w:pPr>
        <w:ind w:left="6604" w:hanging="360"/>
      </w:pPr>
      <w:rPr>
        <w:rFonts w:ascii="Wingdings" w:hAnsi="Wingdings" w:hint="default"/>
      </w:rPr>
    </w:lvl>
  </w:abstractNum>
  <w:abstractNum w:abstractNumId="3" w15:restartNumberingAfterBreak="0">
    <w:nsid w:val="701F17D2"/>
    <w:multiLevelType w:val="multilevel"/>
    <w:tmpl w:val="2E92F7A8"/>
    <w:lvl w:ilvl="0">
      <w:start w:val="2"/>
      <w:numFmt w:val="decimal"/>
      <w:pStyle w:val="Ttulo1"/>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num w:numId="1" w16cid:durableId="1311984527">
    <w:abstractNumId w:val="3"/>
  </w:num>
  <w:num w:numId="2" w16cid:durableId="229579217">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7438207">
    <w:abstractNumId w:val="2"/>
  </w:num>
  <w:num w:numId="4" w16cid:durableId="403260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6AF"/>
    <w:rsid w:val="00040CC4"/>
    <w:rsid w:val="0004447E"/>
    <w:rsid w:val="00053AA2"/>
    <w:rsid w:val="000567E1"/>
    <w:rsid w:val="0006074A"/>
    <w:rsid w:val="00083070"/>
    <w:rsid w:val="00090219"/>
    <w:rsid w:val="000A03F0"/>
    <w:rsid w:val="000B295E"/>
    <w:rsid w:val="000C5EAA"/>
    <w:rsid w:val="00106C90"/>
    <w:rsid w:val="00123229"/>
    <w:rsid w:val="001275F3"/>
    <w:rsid w:val="001359DC"/>
    <w:rsid w:val="00145FF7"/>
    <w:rsid w:val="00153974"/>
    <w:rsid w:val="001715EE"/>
    <w:rsid w:val="001766AF"/>
    <w:rsid w:val="00182504"/>
    <w:rsid w:val="0018503B"/>
    <w:rsid w:val="00196B9E"/>
    <w:rsid w:val="001B396B"/>
    <w:rsid w:val="001C1EF2"/>
    <w:rsid w:val="001D5647"/>
    <w:rsid w:val="001D6AC7"/>
    <w:rsid w:val="0021315E"/>
    <w:rsid w:val="00217FE9"/>
    <w:rsid w:val="002438CD"/>
    <w:rsid w:val="0025708B"/>
    <w:rsid w:val="00263401"/>
    <w:rsid w:val="00284D7F"/>
    <w:rsid w:val="00291312"/>
    <w:rsid w:val="002A49B3"/>
    <w:rsid w:val="002B1422"/>
    <w:rsid w:val="002B2972"/>
    <w:rsid w:val="002F5C6C"/>
    <w:rsid w:val="00303E64"/>
    <w:rsid w:val="003102AB"/>
    <w:rsid w:val="00310336"/>
    <w:rsid w:val="00311183"/>
    <w:rsid w:val="0031630E"/>
    <w:rsid w:val="00333A8A"/>
    <w:rsid w:val="003569A6"/>
    <w:rsid w:val="003805C3"/>
    <w:rsid w:val="00380F69"/>
    <w:rsid w:val="00387934"/>
    <w:rsid w:val="003B064F"/>
    <w:rsid w:val="003B35E7"/>
    <w:rsid w:val="003C15A4"/>
    <w:rsid w:val="003C4685"/>
    <w:rsid w:val="003C6FE0"/>
    <w:rsid w:val="00422EB2"/>
    <w:rsid w:val="00480D61"/>
    <w:rsid w:val="00491B35"/>
    <w:rsid w:val="004A4E90"/>
    <w:rsid w:val="004B6EAF"/>
    <w:rsid w:val="004C0729"/>
    <w:rsid w:val="004D2749"/>
    <w:rsid w:val="004F0313"/>
    <w:rsid w:val="004F191D"/>
    <w:rsid w:val="00516783"/>
    <w:rsid w:val="00536E6C"/>
    <w:rsid w:val="00543A2D"/>
    <w:rsid w:val="00544C56"/>
    <w:rsid w:val="005508BC"/>
    <w:rsid w:val="0055703F"/>
    <w:rsid w:val="005679C7"/>
    <w:rsid w:val="00576E64"/>
    <w:rsid w:val="00596E8D"/>
    <w:rsid w:val="005972AF"/>
    <w:rsid w:val="005A090C"/>
    <w:rsid w:val="005A3C0B"/>
    <w:rsid w:val="005D0452"/>
    <w:rsid w:val="005E248C"/>
    <w:rsid w:val="00600C54"/>
    <w:rsid w:val="006104EB"/>
    <w:rsid w:val="006547DD"/>
    <w:rsid w:val="00685D50"/>
    <w:rsid w:val="00693DE5"/>
    <w:rsid w:val="00695623"/>
    <w:rsid w:val="006A0AD0"/>
    <w:rsid w:val="006B6053"/>
    <w:rsid w:val="006D3EC4"/>
    <w:rsid w:val="006F3B94"/>
    <w:rsid w:val="00701080"/>
    <w:rsid w:val="007105FC"/>
    <w:rsid w:val="00711E0C"/>
    <w:rsid w:val="007209CB"/>
    <w:rsid w:val="0073202D"/>
    <w:rsid w:val="00733CF5"/>
    <w:rsid w:val="00750E0A"/>
    <w:rsid w:val="00751D8F"/>
    <w:rsid w:val="00756220"/>
    <w:rsid w:val="007617D3"/>
    <w:rsid w:val="00777300"/>
    <w:rsid w:val="00781826"/>
    <w:rsid w:val="00786050"/>
    <w:rsid w:val="007A54AB"/>
    <w:rsid w:val="007A6BDC"/>
    <w:rsid w:val="007C4BC3"/>
    <w:rsid w:val="007C5A2B"/>
    <w:rsid w:val="00810231"/>
    <w:rsid w:val="00817635"/>
    <w:rsid w:val="00833B22"/>
    <w:rsid w:val="00841972"/>
    <w:rsid w:val="008460E1"/>
    <w:rsid w:val="008532EA"/>
    <w:rsid w:val="00857E92"/>
    <w:rsid w:val="00861E2C"/>
    <w:rsid w:val="00874BED"/>
    <w:rsid w:val="00881817"/>
    <w:rsid w:val="00884B19"/>
    <w:rsid w:val="008853FE"/>
    <w:rsid w:val="0089433F"/>
    <w:rsid w:val="008C49EC"/>
    <w:rsid w:val="008E254E"/>
    <w:rsid w:val="008E3057"/>
    <w:rsid w:val="008E7350"/>
    <w:rsid w:val="008F683F"/>
    <w:rsid w:val="00914DD0"/>
    <w:rsid w:val="00946E46"/>
    <w:rsid w:val="00963F47"/>
    <w:rsid w:val="00966D00"/>
    <w:rsid w:val="00971AC5"/>
    <w:rsid w:val="00972526"/>
    <w:rsid w:val="00987B33"/>
    <w:rsid w:val="009906EA"/>
    <w:rsid w:val="009C0446"/>
    <w:rsid w:val="009C2B16"/>
    <w:rsid w:val="009D6A2E"/>
    <w:rsid w:val="009E186E"/>
    <w:rsid w:val="009E3751"/>
    <w:rsid w:val="009E5553"/>
    <w:rsid w:val="00A048B7"/>
    <w:rsid w:val="00A155C6"/>
    <w:rsid w:val="00A222CE"/>
    <w:rsid w:val="00A3495C"/>
    <w:rsid w:val="00A7004D"/>
    <w:rsid w:val="00A8630E"/>
    <w:rsid w:val="00AB06EB"/>
    <w:rsid w:val="00AC4767"/>
    <w:rsid w:val="00AF3BE0"/>
    <w:rsid w:val="00B04566"/>
    <w:rsid w:val="00B27057"/>
    <w:rsid w:val="00B43FBE"/>
    <w:rsid w:val="00B45134"/>
    <w:rsid w:val="00B6194A"/>
    <w:rsid w:val="00B6471C"/>
    <w:rsid w:val="00B76895"/>
    <w:rsid w:val="00B76958"/>
    <w:rsid w:val="00B971D6"/>
    <w:rsid w:val="00BA1069"/>
    <w:rsid w:val="00BA4E9E"/>
    <w:rsid w:val="00BC29A5"/>
    <w:rsid w:val="00BD186D"/>
    <w:rsid w:val="00BD2AE5"/>
    <w:rsid w:val="00BE18F6"/>
    <w:rsid w:val="00C25B5A"/>
    <w:rsid w:val="00C43B24"/>
    <w:rsid w:val="00C6588C"/>
    <w:rsid w:val="00C66B7D"/>
    <w:rsid w:val="00C723B0"/>
    <w:rsid w:val="00C94BF6"/>
    <w:rsid w:val="00CD43C6"/>
    <w:rsid w:val="00D11536"/>
    <w:rsid w:val="00D17228"/>
    <w:rsid w:val="00D21ECF"/>
    <w:rsid w:val="00D56A8F"/>
    <w:rsid w:val="00D71B9F"/>
    <w:rsid w:val="00DB06D8"/>
    <w:rsid w:val="00DF3261"/>
    <w:rsid w:val="00E026E8"/>
    <w:rsid w:val="00E05E87"/>
    <w:rsid w:val="00E079FD"/>
    <w:rsid w:val="00E133B2"/>
    <w:rsid w:val="00E1790D"/>
    <w:rsid w:val="00E4541E"/>
    <w:rsid w:val="00E528E2"/>
    <w:rsid w:val="00E5595B"/>
    <w:rsid w:val="00E635DF"/>
    <w:rsid w:val="00E66AAC"/>
    <w:rsid w:val="00E80980"/>
    <w:rsid w:val="00EC07B1"/>
    <w:rsid w:val="00EE19DC"/>
    <w:rsid w:val="00F15C11"/>
    <w:rsid w:val="00F21CBA"/>
    <w:rsid w:val="00F34785"/>
    <w:rsid w:val="00F44A71"/>
    <w:rsid w:val="00F471E5"/>
    <w:rsid w:val="00F529F4"/>
    <w:rsid w:val="00F70316"/>
    <w:rsid w:val="00F762F3"/>
    <w:rsid w:val="00F87B32"/>
    <w:rsid w:val="00FA71B9"/>
    <w:rsid w:val="00FB6B14"/>
    <w:rsid w:val="00FC0B6D"/>
    <w:rsid w:val="00FD0AD2"/>
    <w:rsid w:val="00FE1BA9"/>
    <w:rsid w:val="00FE43A3"/>
    <w:rsid w:val="00FE4DF5"/>
    <w:rsid w:val="00FE53F1"/>
    <w:rsid w:val="00FF4813"/>
    <w:rsid w:val="00FF5EC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798BC"/>
  <w15:docId w15:val="{DF6FC324-F690-4AE3-B7C4-96A47C7F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34" w:hanging="10"/>
      <w:jc w:val="both"/>
    </w:pPr>
    <w:rPr>
      <w:rFonts w:ascii="Arial" w:eastAsia="Arial" w:hAnsi="Arial" w:cs="Arial"/>
      <w:color w:val="000000"/>
      <w:sz w:val="24"/>
    </w:rPr>
  </w:style>
  <w:style w:type="paragraph" w:styleId="Ttulo1">
    <w:name w:val="heading 1"/>
    <w:next w:val="Normal"/>
    <w:link w:val="Ttulo1Car"/>
    <w:uiPriority w:val="9"/>
    <w:qFormat/>
    <w:pPr>
      <w:keepNext/>
      <w:keepLines/>
      <w:numPr>
        <w:numId w:val="1"/>
      </w:numPr>
      <w:spacing w:after="0" w:line="268" w:lineRule="auto"/>
      <w:ind w:left="128" w:hanging="10"/>
      <w:outlineLvl w:val="0"/>
    </w:pPr>
    <w:rPr>
      <w:rFonts w:ascii="Arial" w:eastAsia="Arial" w:hAnsi="Arial" w:cs="Arial"/>
      <w:b/>
      <w:color w:val="000000"/>
      <w:sz w:val="25"/>
    </w:rPr>
  </w:style>
  <w:style w:type="paragraph" w:styleId="Ttulo2">
    <w:name w:val="heading 2"/>
    <w:next w:val="Normal"/>
    <w:link w:val="Ttulo2Car"/>
    <w:uiPriority w:val="9"/>
    <w:unhideWhenUsed/>
    <w:qFormat/>
    <w:pPr>
      <w:keepNext/>
      <w:keepLines/>
      <w:numPr>
        <w:ilvl w:val="1"/>
        <w:numId w:val="1"/>
      </w:numPr>
      <w:spacing w:after="209"/>
      <w:ind w:right="44"/>
      <w:jc w:val="right"/>
      <w:outlineLvl w:val="1"/>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24"/>
    </w:rPr>
  </w:style>
  <w:style w:type="character" w:customStyle="1" w:styleId="Ttulo1Car">
    <w:name w:val="Título 1 Car"/>
    <w:link w:val="Ttulo1"/>
    <w:rPr>
      <w:rFonts w:ascii="Arial" w:eastAsia="Arial" w:hAnsi="Arial" w:cs="Arial"/>
      <w:b/>
      <w:color w:val="000000"/>
      <w:sz w:val="25"/>
    </w:rPr>
  </w:style>
  <w:style w:type="paragraph" w:customStyle="1" w:styleId="footnotedescription">
    <w:name w:val="footnote description"/>
    <w:next w:val="Normal"/>
    <w:link w:val="footnotedescriptionChar"/>
    <w:hidden/>
    <w:pPr>
      <w:spacing w:after="16" w:line="258" w:lineRule="auto"/>
      <w:ind w:left="62"/>
      <w:jc w:val="both"/>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styleId="Tablaconcuadrcula">
    <w:name w:val="Table Grid"/>
    <w:basedOn w:val="Tablanormal"/>
    <w:rsid w:val="0048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715E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715EE"/>
    <w:rPr>
      <w:rFonts w:ascii="Arial" w:eastAsia="Arial" w:hAnsi="Arial" w:cs="Arial"/>
      <w:color w:val="000000"/>
      <w:sz w:val="24"/>
    </w:rPr>
  </w:style>
  <w:style w:type="paragraph" w:styleId="Piedepgina">
    <w:name w:val="footer"/>
    <w:basedOn w:val="Normal"/>
    <w:link w:val="PiedepginaCar"/>
    <w:uiPriority w:val="99"/>
    <w:unhideWhenUsed/>
    <w:rsid w:val="001715E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715EE"/>
    <w:rPr>
      <w:rFonts w:ascii="Arial" w:eastAsia="Arial" w:hAnsi="Arial" w:cs="Arial"/>
      <w:color w:val="000000"/>
      <w:sz w:val="24"/>
    </w:rPr>
  </w:style>
  <w:style w:type="paragraph" w:styleId="Revisin">
    <w:name w:val="Revision"/>
    <w:hidden/>
    <w:uiPriority w:val="99"/>
    <w:semiHidden/>
    <w:rsid w:val="00711E0C"/>
    <w:pPr>
      <w:spacing w:after="0" w:line="240" w:lineRule="auto"/>
    </w:pPr>
    <w:rPr>
      <w:rFonts w:ascii="Arial" w:eastAsia="Arial" w:hAnsi="Arial" w:cs="Arial"/>
      <w:color w:val="000000"/>
      <w:sz w:val="24"/>
    </w:rPr>
  </w:style>
  <w:style w:type="paragraph" w:styleId="Textonotapie">
    <w:name w:val="footnote text"/>
    <w:basedOn w:val="Normal"/>
    <w:link w:val="TextonotapieCar"/>
    <w:uiPriority w:val="99"/>
    <w:semiHidden/>
    <w:unhideWhenUsed/>
    <w:rsid w:val="00BC29A5"/>
    <w:pPr>
      <w:spacing w:line="240" w:lineRule="auto"/>
    </w:pPr>
    <w:rPr>
      <w:sz w:val="20"/>
      <w:szCs w:val="20"/>
    </w:rPr>
  </w:style>
  <w:style w:type="character" w:customStyle="1" w:styleId="TextonotapieCar">
    <w:name w:val="Texto nota pie Car"/>
    <w:basedOn w:val="Fuentedeprrafopredeter"/>
    <w:link w:val="Textonotapie"/>
    <w:uiPriority w:val="99"/>
    <w:semiHidden/>
    <w:rsid w:val="00BC29A5"/>
    <w:rPr>
      <w:rFonts w:ascii="Arial" w:eastAsia="Arial" w:hAnsi="Arial" w:cs="Arial"/>
      <w:color w:val="000000"/>
      <w:sz w:val="20"/>
      <w:szCs w:val="20"/>
    </w:rPr>
  </w:style>
  <w:style w:type="character" w:styleId="Refdenotaalpie">
    <w:name w:val="footnote reference"/>
    <w:basedOn w:val="Fuentedeprrafopredeter"/>
    <w:uiPriority w:val="99"/>
    <w:semiHidden/>
    <w:unhideWhenUsed/>
    <w:rsid w:val="00BC29A5"/>
    <w:rPr>
      <w:vertAlign w:val="superscript"/>
    </w:rPr>
  </w:style>
  <w:style w:type="paragraph" w:styleId="Prrafodelista">
    <w:name w:val="List Paragraph"/>
    <w:basedOn w:val="Normal"/>
    <w:uiPriority w:val="34"/>
    <w:qFormat/>
    <w:rsid w:val="00AC4767"/>
    <w:pPr>
      <w:spacing w:line="240" w:lineRule="auto"/>
      <w:ind w:left="0" w:firstLine="0"/>
      <w:jc w:val="left"/>
    </w:pPr>
    <w:rPr>
      <w:rFonts w:ascii="Times New Roman" w:eastAsiaTheme="minorHAnsi" w:hAnsi="Times New Roman" w:cs="Times New Roman"/>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CFEAE-D2CA-42D6-9D92-EDE4875B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Pages>
  <Words>564</Words>
  <Characters>3104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de Garantías de Instituciones Financieras</dc:creator>
  <cp:keywords/>
  <cp:lastModifiedBy>Fondo de Garantías de Instituciones Financieras </cp:lastModifiedBy>
  <cp:revision>17</cp:revision>
  <dcterms:created xsi:type="dcterms:W3CDTF">2026-08-27T12:59:00Z</dcterms:created>
  <dcterms:modified xsi:type="dcterms:W3CDTF">2026-08-27T15:40:00Z</dcterms:modified>
</cp:coreProperties>
</file>