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3AD7F" w14:textId="77777777" w:rsidR="00DC223F" w:rsidRDefault="00DC223F" w:rsidP="0084072F">
      <w:pPr>
        <w:tabs>
          <w:tab w:val="left" w:pos="11590"/>
        </w:tabs>
        <w:autoSpaceDE w:val="0"/>
        <w:autoSpaceDN w:val="0"/>
        <w:adjustRightInd w:val="0"/>
        <w:ind w:left="11590" w:hanging="11590"/>
        <w:jc w:val="center"/>
        <w:outlineLvl w:val="0"/>
        <w:rPr>
          <w:rFonts w:ascii="Arial" w:hAnsi="Arial" w:cs="Arial"/>
          <w:b/>
          <w:bCs/>
          <w:color w:val="000000"/>
          <w:sz w:val="22"/>
          <w:szCs w:val="22"/>
        </w:rPr>
      </w:pPr>
    </w:p>
    <w:p w14:paraId="482AB041" w14:textId="5E4108FB" w:rsidR="003E650B" w:rsidRDefault="003E650B" w:rsidP="0084072F">
      <w:pPr>
        <w:tabs>
          <w:tab w:val="left" w:pos="11590"/>
        </w:tabs>
        <w:autoSpaceDE w:val="0"/>
        <w:autoSpaceDN w:val="0"/>
        <w:adjustRightInd w:val="0"/>
        <w:jc w:val="center"/>
        <w:outlineLvl w:val="0"/>
        <w:rPr>
          <w:rFonts w:ascii="Arial" w:hAnsi="Arial" w:cs="Arial"/>
          <w:b/>
          <w:bCs/>
          <w:color w:val="000000"/>
          <w:sz w:val="22"/>
          <w:szCs w:val="22"/>
        </w:rPr>
      </w:pPr>
      <w:r w:rsidRPr="00B5522B">
        <w:rPr>
          <w:rStyle w:val="ui-provider"/>
          <w:rFonts w:ascii="Arial" w:hAnsi="Arial" w:cs="Arial"/>
          <w:b/>
          <w:bCs/>
          <w:color w:val="000000" w:themeColor="text1"/>
        </w:rPr>
        <w:t>Nota: En el presente proyecto de Resolución se destacan en negrilla y subrayado las principales modificaciones propuestas</w:t>
      </w:r>
      <w:r>
        <w:rPr>
          <w:rStyle w:val="ui-provider"/>
          <w:rFonts w:ascii="Arial" w:hAnsi="Arial" w:cs="Arial"/>
          <w:b/>
          <w:bCs/>
          <w:color w:val="000000" w:themeColor="text1"/>
        </w:rPr>
        <w:t xml:space="preserve"> y en negrilla, subrayado y tachado</w:t>
      </w:r>
      <w:r w:rsidR="003F3913">
        <w:rPr>
          <w:rStyle w:val="ui-provider"/>
          <w:rFonts w:ascii="Arial" w:hAnsi="Arial" w:cs="Arial"/>
          <w:b/>
          <w:bCs/>
          <w:color w:val="000000" w:themeColor="text1"/>
        </w:rPr>
        <w:t>,</w:t>
      </w:r>
      <w:r>
        <w:rPr>
          <w:rStyle w:val="ui-provider"/>
          <w:rFonts w:ascii="Arial" w:hAnsi="Arial" w:cs="Arial"/>
          <w:b/>
          <w:bCs/>
          <w:color w:val="000000" w:themeColor="text1"/>
        </w:rPr>
        <w:t xml:space="preserve"> lo eliminado</w:t>
      </w:r>
      <w:r w:rsidR="0084072F">
        <w:rPr>
          <w:rStyle w:val="ui-provider"/>
          <w:rFonts w:ascii="Arial" w:hAnsi="Arial" w:cs="Arial"/>
          <w:b/>
          <w:bCs/>
          <w:color w:val="000000" w:themeColor="text1"/>
        </w:rPr>
        <w:t>.</w:t>
      </w:r>
    </w:p>
    <w:p w14:paraId="24FF4A43" w14:textId="77777777" w:rsidR="00DC223F" w:rsidRDefault="00DC223F" w:rsidP="0084072F">
      <w:pPr>
        <w:tabs>
          <w:tab w:val="left" w:pos="11590"/>
        </w:tabs>
        <w:autoSpaceDE w:val="0"/>
        <w:autoSpaceDN w:val="0"/>
        <w:adjustRightInd w:val="0"/>
        <w:jc w:val="center"/>
        <w:outlineLvl w:val="0"/>
        <w:rPr>
          <w:rFonts w:ascii="Arial" w:hAnsi="Arial" w:cs="Arial"/>
          <w:b/>
          <w:bCs/>
          <w:color w:val="000000"/>
          <w:sz w:val="22"/>
          <w:szCs w:val="22"/>
        </w:rPr>
      </w:pPr>
    </w:p>
    <w:p w14:paraId="6CF2CAB9" w14:textId="77777777" w:rsidR="00DC223F" w:rsidRDefault="00DC223F" w:rsidP="0038675D">
      <w:pPr>
        <w:tabs>
          <w:tab w:val="left" w:pos="11590"/>
        </w:tabs>
        <w:autoSpaceDE w:val="0"/>
        <w:autoSpaceDN w:val="0"/>
        <w:adjustRightInd w:val="0"/>
        <w:jc w:val="center"/>
        <w:outlineLvl w:val="0"/>
        <w:rPr>
          <w:rFonts w:ascii="Arial" w:hAnsi="Arial" w:cs="Arial"/>
          <w:b/>
          <w:bCs/>
          <w:color w:val="000000"/>
          <w:sz w:val="22"/>
          <w:szCs w:val="22"/>
        </w:rPr>
      </w:pPr>
    </w:p>
    <w:p w14:paraId="5AAFB606" w14:textId="508FC361" w:rsidR="0038675D" w:rsidRPr="005367E4" w:rsidRDefault="0038675D" w:rsidP="0038675D">
      <w:pPr>
        <w:tabs>
          <w:tab w:val="left" w:pos="11590"/>
        </w:tabs>
        <w:autoSpaceDE w:val="0"/>
        <w:autoSpaceDN w:val="0"/>
        <w:adjustRightInd w:val="0"/>
        <w:jc w:val="center"/>
        <w:outlineLvl w:val="0"/>
        <w:rPr>
          <w:rFonts w:ascii="Arial" w:hAnsi="Arial" w:cs="Arial"/>
          <w:b/>
          <w:bCs/>
          <w:sz w:val="22"/>
          <w:szCs w:val="22"/>
        </w:rPr>
      </w:pPr>
      <w:r w:rsidRPr="005367E4">
        <w:rPr>
          <w:rFonts w:ascii="Arial" w:hAnsi="Arial" w:cs="Arial"/>
          <w:b/>
          <w:bCs/>
          <w:color w:val="000000"/>
          <w:sz w:val="22"/>
          <w:szCs w:val="22"/>
        </w:rPr>
        <w:t xml:space="preserve">RESOLUCIÓN </w:t>
      </w:r>
      <w:r w:rsidR="0084072F">
        <w:rPr>
          <w:rFonts w:ascii="Arial" w:hAnsi="Arial" w:cs="Arial"/>
          <w:b/>
          <w:bCs/>
          <w:color w:val="000000"/>
          <w:sz w:val="22"/>
          <w:szCs w:val="22"/>
        </w:rPr>
        <w:t>XXX</w:t>
      </w:r>
      <w:r w:rsidRPr="005367E4">
        <w:rPr>
          <w:rFonts w:ascii="Arial" w:hAnsi="Arial" w:cs="Arial"/>
          <w:b/>
          <w:bCs/>
          <w:sz w:val="22"/>
          <w:szCs w:val="22"/>
        </w:rPr>
        <w:t xml:space="preserve"> DE 2026</w:t>
      </w:r>
    </w:p>
    <w:p w14:paraId="21E6EC1B" w14:textId="77777777" w:rsidR="0038675D" w:rsidRPr="005367E4" w:rsidRDefault="0038675D" w:rsidP="0038675D">
      <w:pPr>
        <w:autoSpaceDE w:val="0"/>
        <w:autoSpaceDN w:val="0"/>
        <w:adjustRightInd w:val="0"/>
        <w:rPr>
          <w:rFonts w:ascii="Arial" w:hAnsi="Arial" w:cs="Arial"/>
          <w:color w:val="000000"/>
          <w:sz w:val="22"/>
          <w:szCs w:val="22"/>
        </w:rPr>
      </w:pPr>
    </w:p>
    <w:p w14:paraId="32FC9F2D" w14:textId="1499EEE1" w:rsidR="0038675D" w:rsidRPr="005367E4" w:rsidRDefault="0038675D" w:rsidP="0038675D">
      <w:pPr>
        <w:autoSpaceDE w:val="0"/>
        <w:autoSpaceDN w:val="0"/>
        <w:adjustRightInd w:val="0"/>
        <w:jc w:val="center"/>
        <w:rPr>
          <w:rFonts w:ascii="Arial" w:hAnsi="Arial" w:cs="Arial"/>
          <w:sz w:val="22"/>
          <w:szCs w:val="22"/>
        </w:rPr>
      </w:pPr>
      <w:r w:rsidRPr="005367E4">
        <w:rPr>
          <w:rFonts w:ascii="Arial" w:hAnsi="Arial" w:cs="Arial"/>
          <w:sz w:val="22"/>
          <w:szCs w:val="22"/>
        </w:rPr>
        <w:t>(</w:t>
      </w:r>
      <w:r w:rsidR="0084072F">
        <w:rPr>
          <w:rFonts w:ascii="Arial" w:hAnsi="Arial" w:cs="Arial"/>
          <w:sz w:val="22"/>
          <w:szCs w:val="22"/>
        </w:rPr>
        <w:t>XX</w:t>
      </w:r>
      <w:r w:rsidRPr="005367E4">
        <w:rPr>
          <w:rFonts w:ascii="Arial" w:hAnsi="Arial" w:cs="Arial"/>
          <w:sz w:val="22"/>
          <w:szCs w:val="22"/>
        </w:rPr>
        <w:t xml:space="preserve"> de </w:t>
      </w:r>
      <w:r w:rsidR="0084072F">
        <w:rPr>
          <w:rFonts w:ascii="Arial" w:hAnsi="Arial" w:cs="Arial"/>
          <w:sz w:val="22"/>
          <w:szCs w:val="22"/>
        </w:rPr>
        <w:t>XXXX</w:t>
      </w:r>
      <w:r w:rsidRPr="005367E4">
        <w:rPr>
          <w:rFonts w:ascii="Arial" w:hAnsi="Arial" w:cs="Arial"/>
          <w:sz w:val="22"/>
          <w:szCs w:val="22"/>
        </w:rPr>
        <w:t xml:space="preserve"> de 2026)</w:t>
      </w:r>
    </w:p>
    <w:p w14:paraId="2073533F" w14:textId="77777777" w:rsidR="0038675D" w:rsidRPr="005367E4" w:rsidRDefault="0038675D" w:rsidP="0038675D">
      <w:pPr>
        <w:autoSpaceDE w:val="0"/>
        <w:autoSpaceDN w:val="0"/>
        <w:adjustRightInd w:val="0"/>
        <w:rPr>
          <w:rFonts w:ascii="Arial" w:hAnsi="Arial" w:cs="Arial"/>
          <w:color w:val="000000"/>
          <w:sz w:val="22"/>
          <w:szCs w:val="22"/>
        </w:rPr>
      </w:pPr>
    </w:p>
    <w:p w14:paraId="4A61BD27" w14:textId="77777777" w:rsidR="0038675D" w:rsidRPr="005367E4" w:rsidRDefault="0038675D" w:rsidP="0038675D">
      <w:pPr>
        <w:tabs>
          <w:tab w:val="left" w:pos="5565"/>
        </w:tabs>
        <w:autoSpaceDE w:val="0"/>
        <w:autoSpaceDN w:val="0"/>
        <w:adjustRightInd w:val="0"/>
        <w:jc w:val="center"/>
        <w:rPr>
          <w:rFonts w:ascii="Arial" w:hAnsi="Arial" w:cs="Arial"/>
          <w:color w:val="000000"/>
          <w:sz w:val="22"/>
          <w:szCs w:val="22"/>
        </w:rPr>
      </w:pPr>
      <w:r w:rsidRPr="005367E4">
        <w:rPr>
          <w:rFonts w:ascii="Arial" w:hAnsi="Arial" w:cs="Arial"/>
          <w:color w:val="000000"/>
          <w:sz w:val="22"/>
          <w:szCs w:val="22"/>
        </w:rPr>
        <w:t>Por medio de la cual la Junta Directiva del Fondo de Garantías de Instituciones Financieras regula el Seguro de Depósitos aplicable a las Sociedades Especializadas en Depósitos y Pagos Electrónicos -SEDPES</w:t>
      </w:r>
    </w:p>
    <w:p w14:paraId="22A24E0D" w14:textId="77777777" w:rsidR="0038675D" w:rsidRPr="005367E4" w:rsidRDefault="0038675D" w:rsidP="0038675D">
      <w:pPr>
        <w:tabs>
          <w:tab w:val="left" w:pos="5565"/>
        </w:tabs>
        <w:autoSpaceDE w:val="0"/>
        <w:autoSpaceDN w:val="0"/>
        <w:adjustRightInd w:val="0"/>
        <w:rPr>
          <w:rFonts w:ascii="Arial" w:hAnsi="Arial" w:cs="Arial"/>
          <w:color w:val="000000"/>
          <w:sz w:val="22"/>
          <w:szCs w:val="22"/>
        </w:rPr>
      </w:pPr>
    </w:p>
    <w:p w14:paraId="4798FAC6" w14:textId="77777777" w:rsidR="0038675D" w:rsidRPr="005367E4" w:rsidRDefault="0038675D" w:rsidP="0038675D">
      <w:pPr>
        <w:tabs>
          <w:tab w:val="left" w:pos="5565"/>
        </w:tabs>
        <w:autoSpaceDE w:val="0"/>
        <w:autoSpaceDN w:val="0"/>
        <w:adjustRightInd w:val="0"/>
        <w:rPr>
          <w:rFonts w:ascii="Arial" w:hAnsi="Arial" w:cs="Arial"/>
          <w:color w:val="000000"/>
          <w:sz w:val="22"/>
          <w:szCs w:val="22"/>
        </w:rPr>
      </w:pPr>
    </w:p>
    <w:p w14:paraId="52D964A8" w14:textId="77777777" w:rsidR="0038675D"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color w:val="000000"/>
          <w:sz w:val="22"/>
          <w:szCs w:val="22"/>
        </w:rPr>
        <w:t xml:space="preserve">La Junta Directiva del Fondo de Garantías de Instituciones Financieras en uso de sus facultades legales, en especial de las que le confieren el literal d) del numeral 2 del artículo 316, el literal c) del numeral 2 del </w:t>
      </w:r>
      <w:r w:rsidRPr="00F37F28">
        <w:rPr>
          <w:rFonts w:ascii="Arial" w:hAnsi="Arial" w:cs="Arial"/>
          <w:color w:val="000000"/>
          <w:sz w:val="22"/>
          <w:szCs w:val="22"/>
        </w:rPr>
        <w:t>artículo 318 y</w:t>
      </w:r>
      <w:r w:rsidRPr="005367E4">
        <w:rPr>
          <w:rFonts w:ascii="Arial" w:hAnsi="Arial" w:cs="Arial"/>
          <w:color w:val="000000"/>
          <w:sz w:val="22"/>
          <w:szCs w:val="22"/>
        </w:rPr>
        <w:t xml:space="preserve"> el artículo 323 del Estatuto Orgánico del Sistema Financiero, </w:t>
      </w:r>
    </w:p>
    <w:p w14:paraId="78F75BFE" w14:textId="77777777" w:rsidR="0038675D" w:rsidRPr="005367E4" w:rsidRDefault="0038675D" w:rsidP="0038675D">
      <w:pPr>
        <w:autoSpaceDE w:val="0"/>
        <w:autoSpaceDN w:val="0"/>
        <w:adjustRightInd w:val="0"/>
        <w:rPr>
          <w:rFonts w:ascii="Arial" w:hAnsi="Arial" w:cs="Arial"/>
          <w:b/>
          <w:bCs/>
          <w:color w:val="000000"/>
          <w:sz w:val="22"/>
          <w:szCs w:val="22"/>
        </w:rPr>
      </w:pPr>
    </w:p>
    <w:p w14:paraId="44910CBE" w14:textId="77777777" w:rsidR="0038675D" w:rsidRPr="005367E4" w:rsidRDefault="0038675D" w:rsidP="0038675D">
      <w:pPr>
        <w:autoSpaceDE w:val="0"/>
        <w:autoSpaceDN w:val="0"/>
        <w:adjustRightInd w:val="0"/>
        <w:rPr>
          <w:rFonts w:ascii="Arial" w:hAnsi="Arial" w:cs="Arial"/>
          <w:b/>
          <w:bCs/>
          <w:color w:val="000000"/>
          <w:sz w:val="22"/>
          <w:szCs w:val="22"/>
        </w:rPr>
      </w:pPr>
    </w:p>
    <w:p w14:paraId="0BA2BD67" w14:textId="77777777" w:rsidR="0038675D" w:rsidRPr="005367E4" w:rsidRDefault="0038675D" w:rsidP="0038675D">
      <w:pPr>
        <w:autoSpaceDE w:val="0"/>
        <w:autoSpaceDN w:val="0"/>
        <w:adjustRightInd w:val="0"/>
        <w:ind w:left="708" w:hanging="708"/>
        <w:jc w:val="center"/>
        <w:outlineLvl w:val="0"/>
        <w:rPr>
          <w:rFonts w:ascii="Arial" w:hAnsi="Arial" w:cs="Arial"/>
          <w:b/>
          <w:bCs/>
          <w:color w:val="000000"/>
          <w:sz w:val="22"/>
          <w:szCs w:val="22"/>
          <w:lang w:val="pt-BR"/>
        </w:rPr>
      </w:pPr>
      <w:r w:rsidRPr="005367E4">
        <w:rPr>
          <w:rFonts w:ascii="Arial" w:hAnsi="Arial" w:cs="Arial"/>
          <w:b/>
          <w:bCs/>
          <w:color w:val="000000"/>
          <w:sz w:val="22"/>
          <w:szCs w:val="22"/>
          <w:lang w:val="pt-BR"/>
        </w:rPr>
        <w:t>C O N S I D E R A N D O</w:t>
      </w:r>
    </w:p>
    <w:p w14:paraId="7D48CCDD" w14:textId="77777777" w:rsidR="0038675D" w:rsidRPr="005367E4" w:rsidRDefault="0038675D" w:rsidP="0038675D">
      <w:pPr>
        <w:autoSpaceDE w:val="0"/>
        <w:autoSpaceDN w:val="0"/>
        <w:adjustRightInd w:val="0"/>
        <w:outlineLvl w:val="0"/>
        <w:rPr>
          <w:rFonts w:ascii="Arial" w:hAnsi="Arial" w:cs="Arial"/>
          <w:b/>
          <w:bCs/>
          <w:color w:val="000000"/>
          <w:sz w:val="22"/>
          <w:szCs w:val="22"/>
          <w:lang w:val="pt-BR"/>
        </w:rPr>
      </w:pPr>
    </w:p>
    <w:p w14:paraId="28B3F943" w14:textId="1856BB6F" w:rsidR="001914B8"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b/>
          <w:bCs/>
          <w:color w:val="000000"/>
          <w:sz w:val="22"/>
          <w:szCs w:val="22"/>
        </w:rPr>
        <w:t>PRIMERO</w:t>
      </w:r>
      <w:r w:rsidRPr="005367E4">
        <w:rPr>
          <w:rFonts w:ascii="Arial" w:hAnsi="Arial" w:cs="Arial"/>
          <w:color w:val="000000"/>
          <w:sz w:val="22"/>
          <w:szCs w:val="22"/>
        </w:rPr>
        <w:t>. Que de conformidad con lo dispuesto en el literal d) del numeral 2 del artículo 316 del Estatuto Orgánico del Sistema Financiero, una de las funciones que debe cumplir el Fondo de Garantías de Instituciones Financieras es la de organizar y desarrollar el Sistema de Seguro de Depósitos.</w:t>
      </w:r>
    </w:p>
    <w:p w14:paraId="24F31555" w14:textId="77777777" w:rsidR="0038675D" w:rsidRPr="005367E4" w:rsidRDefault="0038675D" w:rsidP="0038675D">
      <w:pPr>
        <w:tabs>
          <w:tab w:val="left" w:pos="5600"/>
        </w:tabs>
        <w:autoSpaceDE w:val="0"/>
        <w:autoSpaceDN w:val="0"/>
        <w:adjustRightInd w:val="0"/>
        <w:jc w:val="both"/>
        <w:rPr>
          <w:rFonts w:ascii="Arial" w:hAnsi="Arial" w:cs="Arial"/>
          <w:color w:val="000000"/>
          <w:sz w:val="22"/>
          <w:szCs w:val="22"/>
        </w:rPr>
      </w:pPr>
      <w:r w:rsidRPr="005367E4">
        <w:rPr>
          <w:rFonts w:ascii="Arial" w:hAnsi="Arial" w:cs="Arial"/>
          <w:color w:val="000000"/>
          <w:sz w:val="22"/>
          <w:szCs w:val="22"/>
        </w:rPr>
        <w:t xml:space="preserve"> </w:t>
      </w:r>
      <w:r w:rsidRPr="005367E4">
        <w:rPr>
          <w:rFonts w:ascii="Arial" w:hAnsi="Arial" w:cs="Arial"/>
          <w:color w:val="000000"/>
          <w:sz w:val="22"/>
          <w:szCs w:val="22"/>
        </w:rPr>
        <w:tab/>
      </w:r>
    </w:p>
    <w:p w14:paraId="37D64869" w14:textId="27ABCEC8" w:rsidR="004C0071"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b/>
          <w:bCs/>
          <w:color w:val="000000"/>
          <w:sz w:val="22"/>
          <w:szCs w:val="22"/>
        </w:rPr>
        <w:t>SEGUNDO</w:t>
      </w:r>
      <w:r w:rsidRPr="005367E4">
        <w:rPr>
          <w:rFonts w:ascii="Arial" w:hAnsi="Arial" w:cs="Arial"/>
          <w:color w:val="000000"/>
          <w:sz w:val="22"/>
          <w:szCs w:val="22"/>
        </w:rPr>
        <w:t>. Que el literal c) del numeral 2 del artículo 318 del Estatuto Orgánico del Sistema Financiero, en concordancia con el artículo 323 de dicho estatuto, atribuyó a la Junta Directiva, como máximo órgano de dirección y administración del Fondo, la potestad de regular el Seguro de Depósitos con observancia de los principios allí enunciados; y que, dentro de esa potestad, y en la forma prevista en la Ley y los estatutos, la Junta puede delegar en otras instancias del Fondo los aspectos del Seguro de Depósitos que considere pertinentes.</w:t>
      </w:r>
    </w:p>
    <w:p w14:paraId="5E602136" w14:textId="77777777" w:rsidR="0038675D" w:rsidRPr="005367E4" w:rsidRDefault="0038675D" w:rsidP="0038675D">
      <w:pPr>
        <w:autoSpaceDE w:val="0"/>
        <w:autoSpaceDN w:val="0"/>
        <w:adjustRightInd w:val="0"/>
        <w:jc w:val="both"/>
        <w:rPr>
          <w:rFonts w:ascii="Arial" w:hAnsi="Arial" w:cs="Arial"/>
          <w:color w:val="000000"/>
          <w:sz w:val="22"/>
          <w:szCs w:val="22"/>
        </w:rPr>
      </w:pPr>
    </w:p>
    <w:p w14:paraId="28E703E3" w14:textId="2D705776" w:rsidR="0038675D"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b/>
          <w:bCs/>
          <w:color w:val="000000"/>
          <w:sz w:val="22"/>
          <w:szCs w:val="22"/>
        </w:rPr>
        <w:t>TERCERO</w:t>
      </w:r>
      <w:r w:rsidRPr="005367E4">
        <w:rPr>
          <w:rFonts w:ascii="Arial" w:hAnsi="Arial" w:cs="Arial"/>
          <w:color w:val="000000"/>
          <w:sz w:val="22"/>
          <w:szCs w:val="22"/>
        </w:rPr>
        <w:t>. Que el parágrafo 2° del artículo 1º de la Ley 1735 de 2014 señala que los depósitos captados por las Sociedades Especializadas en Depósitos y Pagos Electrónicos, en adelante SEDPES estarán cubiertos por el Seguro de Depósitos administrado por el Fondo de Garantías de Instituciones Financieras en los términos y condiciones que defina la Junta Directiva. Para tal efecto, las SEDPES deberán inscribirse en el Fondo</w:t>
      </w:r>
      <w:r w:rsidR="00B44AE4">
        <w:rPr>
          <w:rFonts w:ascii="Arial" w:hAnsi="Arial" w:cs="Arial"/>
          <w:color w:val="000000"/>
          <w:sz w:val="22"/>
          <w:szCs w:val="22"/>
        </w:rPr>
        <w:t xml:space="preserve"> </w:t>
      </w:r>
      <w:r w:rsidR="00B44AE4">
        <w:rPr>
          <w:rFonts w:ascii="Arial" w:hAnsi="Arial" w:cs="Arial"/>
          <w:b/>
          <w:bCs/>
          <w:color w:val="000000"/>
          <w:sz w:val="22"/>
          <w:szCs w:val="22"/>
          <w:u w:val="single"/>
        </w:rPr>
        <w:t xml:space="preserve">y </w:t>
      </w:r>
      <w:r w:rsidR="00B44AE4" w:rsidRPr="00D6175F">
        <w:rPr>
          <w:rFonts w:ascii="Arial" w:hAnsi="Arial" w:cs="Arial"/>
          <w:b/>
          <w:bCs/>
          <w:color w:val="000000"/>
          <w:sz w:val="22"/>
          <w:szCs w:val="22"/>
          <w:u w:val="single"/>
        </w:rPr>
        <w:t>de</w:t>
      </w:r>
      <w:r w:rsidR="00B44AE4">
        <w:rPr>
          <w:rFonts w:ascii="Arial" w:hAnsi="Arial" w:cs="Arial"/>
          <w:b/>
          <w:bCs/>
          <w:color w:val="000000"/>
          <w:sz w:val="22"/>
          <w:szCs w:val="22"/>
          <w:u w:val="single"/>
        </w:rPr>
        <w:t xml:space="preserve"> conformidad con lo establecido en el</w:t>
      </w:r>
      <w:r w:rsidR="00B44AE4" w:rsidRPr="00D6175F">
        <w:rPr>
          <w:rFonts w:ascii="Arial" w:hAnsi="Arial" w:cs="Arial"/>
          <w:b/>
          <w:bCs/>
          <w:color w:val="000000"/>
          <w:sz w:val="22"/>
          <w:szCs w:val="22"/>
          <w:u w:val="single"/>
        </w:rPr>
        <w:t xml:space="preserve"> </w:t>
      </w:r>
      <w:r w:rsidR="00B44AE4">
        <w:rPr>
          <w:rFonts w:ascii="Arial" w:hAnsi="Arial" w:cs="Arial"/>
          <w:b/>
          <w:bCs/>
          <w:color w:val="000000"/>
          <w:sz w:val="22"/>
          <w:szCs w:val="22"/>
          <w:u w:val="single"/>
        </w:rPr>
        <w:t xml:space="preserve">numeral 1, </w:t>
      </w:r>
      <w:r w:rsidR="00B44AE4" w:rsidRPr="00D6175F">
        <w:rPr>
          <w:rFonts w:ascii="Arial" w:hAnsi="Arial" w:cs="Arial"/>
          <w:b/>
          <w:bCs/>
          <w:color w:val="000000"/>
          <w:sz w:val="22"/>
          <w:szCs w:val="22"/>
          <w:u w:val="single"/>
        </w:rPr>
        <w:t>literal a) del artículo 319 de Estatuto Orgánico del Sistema Financiero</w:t>
      </w:r>
      <w:r w:rsidR="00B44AE4">
        <w:rPr>
          <w:rFonts w:ascii="Arial" w:hAnsi="Arial" w:cs="Arial"/>
          <w:b/>
          <w:bCs/>
          <w:color w:val="000000"/>
          <w:sz w:val="22"/>
          <w:szCs w:val="22"/>
          <w:u w:val="single"/>
        </w:rPr>
        <w:t xml:space="preserve">, pagar los </w:t>
      </w:r>
      <w:r w:rsidR="00954825">
        <w:rPr>
          <w:rFonts w:ascii="Arial" w:hAnsi="Arial" w:cs="Arial"/>
          <w:b/>
          <w:bCs/>
          <w:color w:val="000000"/>
          <w:sz w:val="22"/>
          <w:szCs w:val="22"/>
          <w:u w:val="single"/>
        </w:rPr>
        <w:t xml:space="preserve">respectivos </w:t>
      </w:r>
      <w:r w:rsidR="00B44AE4">
        <w:rPr>
          <w:rFonts w:ascii="Arial" w:hAnsi="Arial" w:cs="Arial"/>
          <w:b/>
          <w:bCs/>
          <w:color w:val="000000"/>
          <w:sz w:val="22"/>
          <w:szCs w:val="22"/>
          <w:u w:val="single"/>
        </w:rPr>
        <w:t>derechos de inscripción</w:t>
      </w:r>
      <w:r w:rsidRPr="005367E4">
        <w:rPr>
          <w:rFonts w:ascii="Arial" w:hAnsi="Arial" w:cs="Arial"/>
          <w:color w:val="000000"/>
          <w:sz w:val="22"/>
          <w:szCs w:val="22"/>
        </w:rPr>
        <w:t>.</w:t>
      </w:r>
      <w:r w:rsidRPr="005367E4" w:rsidDel="00E33EEF">
        <w:rPr>
          <w:rFonts w:ascii="Arial" w:hAnsi="Arial" w:cs="Arial"/>
          <w:color w:val="000000"/>
          <w:sz w:val="22"/>
          <w:szCs w:val="22"/>
        </w:rPr>
        <w:t xml:space="preserve"> </w:t>
      </w:r>
    </w:p>
    <w:p w14:paraId="418CEB30" w14:textId="77777777" w:rsidR="0038675D" w:rsidRDefault="0038675D" w:rsidP="0038675D">
      <w:pPr>
        <w:autoSpaceDE w:val="0"/>
        <w:autoSpaceDN w:val="0"/>
        <w:adjustRightInd w:val="0"/>
        <w:jc w:val="both"/>
        <w:rPr>
          <w:rFonts w:ascii="Arial" w:hAnsi="Arial" w:cs="Arial"/>
          <w:color w:val="000000"/>
          <w:sz w:val="22"/>
          <w:szCs w:val="22"/>
        </w:rPr>
      </w:pPr>
    </w:p>
    <w:p w14:paraId="3232041D" w14:textId="77777777" w:rsidR="00954825" w:rsidRPr="005367E4" w:rsidRDefault="00954825" w:rsidP="0038675D">
      <w:pPr>
        <w:autoSpaceDE w:val="0"/>
        <w:autoSpaceDN w:val="0"/>
        <w:adjustRightInd w:val="0"/>
        <w:jc w:val="both"/>
        <w:rPr>
          <w:rFonts w:ascii="Arial" w:hAnsi="Arial" w:cs="Arial"/>
          <w:color w:val="000000"/>
          <w:sz w:val="22"/>
          <w:szCs w:val="22"/>
        </w:rPr>
      </w:pPr>
    </w:p>
    <w:p w14:paraId="42ABE5E0" w14:textId="77777777" w:rsidR="0038675D" w:rsidRDefault="0038675D" w:rsidP="0038675D">
      <w:pPr>
        <w:tabs>
          <w:tab w:val="left" w:pos="5670"/>
        </w:tabs>
        <w:autoSpaceDE w:val="0"/>
        <w:autoSpaceDN w:val="0"/>
        <w:adjustRightInd w:val="0"/>
        <w:jc w:val="center"/>
        <w:outlineLvl w:val="0"/>
        <w:rPr>
          <w:rFonts w:ascii="Arial" w:hAnsi="Arial" w:cs="Arial"/>
          <w:b/>
          <w:bCs/>
          <w:color w:val="000000"/>
          <w:sz w:val="22"/>
          <w:szCs w:val="22"/>
          <w:lang w:val="pt-BR"/>
        </w:rPr>
      </w:pPr>
      <w:r w:rsidRPr="005367E4">
        <w:rPr>
          <w:rFonts w:ascii="Arial" w:hAnsi="Arial" w:cs="Arial"/>
          <w:b/>
          <w:bCs/>
          <w:color w:val="000000"/>
          <w:sz w:val="22"/>
          <w:szCs w:val="22"/>
          <w:lang w:val="pt-BR"/>
        </w:rPr>
        <w:t>R E S U E L V E:</w:t>
      </w:r>
    </w:p>
    <w:p w14:paraId="0513808E" w14:textId="77777777" w:rsidR="002B16B6" w:rsidRPr="005367E4" w:rsidRDefault="002B16B6" w:rsidP="0038675D">
      <w:pPr>
        <w:tabs>
          <w:tab w:val="left" w:pos="5670"/>
        </w:tabs>
        <w:autoSpaceDE w:val="0"/>
        <w:autoSpaceDN w:val="0"/>
        <w:adjustRightInd w:val="0"/>
        <w:jc w:val="center"/>
        <w:outlineLvl w:val="0"/>
        <w:rPr>
          <w:rFonts w:ascii="Arial" w:hAnsi="Arial" w:cs="Arial"/>
          <w:b/>
          <w:bCs/>
          <w:color w:val="000000"/>
          <w:sz w:val="22"/>
          <w:szCs w:val="22"/>
          <w:lang w:val="pt-BR"/>
        </w:rPr>
      </w:pPr>
    </w:p>
    <w:p w14:paraId="7D09628F" w14:textId="77777777" w:rsidR="0038675D" w:rsidRPr="005367E4" w:rsidRDefault="0038675D" w:rsidP="0038675D">
      <w:pPr>
        <w:autoSpaceDE w:val="0"/>
        <w:autoSpaceDN w:val="0"/>
        <w:adjustRightInd w:val="0"/>
        <w:jc w:val="center"/>
        <w:outlineLvl w:val="0"/>
        <w:rPr>
          <w:rFonts w:ascii="Arial" w:hAnsi="Arial" w:cs="Arial"/>
          <w:b/>
          <w:bCs/>
          <w:color w:val="000000"/>
          <w:sz w:val="22"/>
          <w:szCs w:val="22"/>
          <w:lang w:val="pt-BR"/>
        </w:rPr>
      </w:pPr>
      <w:r w:rsidRPr="005367E4">
        <w:rPr>
          <w:rFonts w:ascii="Arial" w:hAnsi="Arial" w:cs="Arial"/>
          <w:b/>
          <w:bCs/>
          <w:color w:val="000000"/>
          <w:sz w:val="22"/>
          <w:szCs w:val="22"/>
          <w:lang w:val="pt-BR"/>
        </w:rPr>
        <w:t>CAPÍTULO I – DISPOSICIONES GENERALES</w:t>
      </w:r>
    </w:p>
    <w:p w14:paraId="6C170DD8" w14:textId="77777777" w:rsidR="0038675D" w:rsidRDefault="0038675D" w:rsidP="0038675D">
      <w:pPr>
        <w:autoSpaceDE w:val="0"/>
        <w:autoSpaceDN w:val="0"/>
        <w:adjustRightInd w:val="0"/>
        <w:rPr>
          <w:rFonts w:ascii="Arial" w:hAnsi="Arial" w:cs="Arial"/>
          <w:b/>
          <w:bCs/>
          <w:color w:val="000000"/>
          <w:sz w:val="22"/>
          <w:szCs w:val="22"/>
          <w:lang w:val="pt-BR"/>
        </w:rPr>
      </w:pPr>
    </w:p>
    <w:p w14:paraId="640B7FE3" w14:textId="77777777" w:rsidR="002B16B6" w:rsidRPr="005367E4" w:rsidRDefault="002B16B6" w:rsidP="0038675D">
      <w:pPr>
        <w:autoSpaceDE w:val="0"/>
        <w:autoSpaceDN w:val="0"/>
        <w:adjustRightInd w:val="0"/>
        <w:rPr>
          <w:rFonts w:ascii="Arial" w:hAnsi="Arial" w:cs="Arial"/>
          <w:b/>
          <w:bCs/>
          <w:color w:val="000000"/>
          <w:sz w:val="22"/>
          <w:szCs w:val="22"/>
          <w:lang w:val="pt-BR"/>
        </w:rPr>
      </w:pPr>
    </w:p>
    <w:p w14:paraId="4B7B0816" w14:textId="1E573931" w:rsidR="0038675D"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b/>
          <w:bCs/>
          <w:color w:val="000000"/>
          <w:sz w:val="22"/>
          <w:szCs w:val="22"/>
        </w:rPr>
        <w:t xml:space="preserve">ARTÍCULO PRIMERO. </w:t>
      </w:r>
      <w:r w:rsidRPr="005367E4">
        <w:rPr>
          <w:rFonts w:ascii="Arial" w:hAnsi="Arial" w:cs="Arial"/>
          <w:b/>
          <w:color w:val="000000"/>
          <w:sz w:val="22"/>
          <w:szCs w:val="22"/>
        </w:rPr>
        <w:t>OBJETO.</w:t>
      </w:r>
      <w:r w:rsidRPr="005367E4">
        <w:rPr>
          <w:rFonts w:ascii="Arial" w:hAnsi="Arial" w:cs="Arial"/>
          <w:color w:val="000000"/>
          <w:sz w:val="22"/>
          <w:szCs w:val="22"/>
        </w:rPr>
        <w:t xml:space="preserve"> El objeto de la presente Resolución es regular el Seguro de Depósitos del Fondo de Garantías de Instituciones Financieras para las SEDPES</w:t>
      </w:r>
      <w:r>
        <w:rPr>
          <w:rFonts w:ascii="Arial" w:hAnsi="Arial" w:cs="Arial"/>
          <w:color w:val="000000"/>
          <w:sz w:val="22"/>
          <w:szCs w:val="22"/>
        </w:rPr>
        <w:t>,</w:t>
      </w:r>
      <w:r w:rsidRPr="005367E4">
        <w:rPr>
          <w:rFonts w:ascii="Arial" w:hAnsi="Arial" w:cs="Arial"/>
          <w:color w:val="000000"/>
          <w:sz w:val="22"/>
          <w:szCs w:val="22"/>
        </w:rPr>
        <w:t xml:space="preserve"> el cual comprende la inscripción, las acreencias amparadas, las primas, la cobertura y el pago que procede cuando una SEDPE sea objeto de liquidación forzosa administrativa.</w:t>
      </w:r>
    </w:p>
    <w:p w14:paraId="49F20E21" w14:textId="77777777" w:rsidR="0038675D" w:rsidRPr="005367E4" w:rsidRDefault="0038675D" w:rsidP="0038675D">
      <w:pPr>
        <w:autoSpaceDE w:val="0"/>
        <w:autoSpaceDN w:val="0"/>
        <w:adjustRightInd w:val="0"/>
        <w:jc w:val="both"/>
        <w:rPr>
          <w:rFonts w:ascii="Arial" w:hAnsi="Arial" w:cs="Arial"/>
          <w:b/>
          <w:bCs/>
          <w:color w:val="000000"/>
          <w:sz w:val="22"/>
          <w:szCs w:val="22"/>
        </w:rPr>
      </w:pPr>
    </w:p>
    <w:p w14:paraId="6614F588" w14:textId="2C49D62B" w:rsidR="0038675D" w:rsidRPr="005367E4" w:rsidRDefault="0038675D" w:rsidP="0038675D">
      <w:pPr>
        <w:autoSpaceDE w:val="0"/>
        <w:autoSpaceDN w:val="0"/>
        <w:adjustRightInd w:val="0"/>
        <w:jc w:val="both"/>
        <w:rPr>
          <w:rFonts w:ascii="Arial" w:hAnsi="Arial" w:cs="Arial"/>
          <w:bCs/>
          <w:color w:val="000000"/>
          <w:sz w:val="22"/>
          <w:szCs w:val="22"/>
        </w:rPr>
      </w:pPr>
      <w:r w:rsidRPr="005367E4">
        <w:rPr>
          <w:rFonts w:ascii="Arial" w:hAnsi="Arial" w:cs="Arial"/>
          <w:b/>
          <w:bCs/>
          <w:color w:val="000000"/>
          <w:sz w:val="22"/>
          <w:szCs w:val="22"/>
        </w:rPr>
        <w:t>ARTÍCULO SEGUNDO. INSCRIPCIÓN.</w:t>
      </w:r>
      <w:r w:rsidRPr="005367E4">
        <w:rPr>
          <w:rFonts w:ascii="Arial" w:hAnsi="Arial" w:cs="Arial"/>
          <w:bCs/>
          <w:color w:val="000000"/>
          <w:sz w:val="22"/>
          <w:szCs w:val="22"/>
        </w:rPr>
        <w:t xml:space="preserve"> Según lo ordena </w:t>
      </w:r>
      <w:r w:rsidRPr="005367E4">
        <w:rPr>
          <w:rFonts w:ascii="Arial" w:hAnsi="Arial" w:cs="Arial"/>
          <w:color w:val="000000"/>
          <w:sz w:val="22"/>
          <w:szCs w:val="22"/>
        </w:rPr>
        <w:t>el Parágrafo 2° del artículo 1º de la Ley 1735 de 2014</w:t>
      </w:r>
      <w:r w:rsidR="00560149">
        <w:rPr>
          <w:rFonts w:ascii="Arial" w:hAnsi="Arial" w:cs="Arial"/>
          <w:color w:val="000000"/>
          <w:sz w:val="22"/>
          <w:szCs w:val="22"/>
        </w:rPr>
        <w:t>,</w:t>
      </w:r>
      <w:r w:rsidRPr="005367E4">
        <w:rPr>
          <w:rFonts w:ascii="Arial" w:hAnsi="Arial" w:cs="Arial"/>
          <w:color w:val="000000"/>
          <w:sz w:val="22"/>
          <w:szCs w:val="22"/>
        </w:rPr>
        <w:t xml:space="preserve"> las SEDPES deberán inscribirse en el Fondo</w:t>
      </w:r>
      <w:r w:rsidRPr="005367E4">
        <w:rPr>
          <w:rFonts w:ascii="Arial" w:hAnsi="Arial" w:cs="Arial"/>
          <w:bCs/>
          <w:color w:val="000000"/>
          <w:sz w:val="22"/>
          <w:szCs w:val="22"/>
        </w:rPr>
        <w:t xml:space="preserve">. </w:t>
      </w:r>
    </w:p>
    <w:p w14:paraId="4D1C51AD" w14:textId="77777777" w:rsidR="0038675D" w:rsidRPr="005367E4" w:rsidRDefault="0038675D" w:rsidP="0038675D">
      <w:pPr>
        <w:autoSpaceDE w:val="0"/>
        <w:autoSpaceDN w:val="0"/>
        <w:adjustRightInd w:val="0"/>
        <w:jc w:val="both"/>
        <w:rPr>
          <w:rFonts w:ascii="Arial" w:hAnsi="Arial" w:cs="Arial"/>
          <w:b/>
          <w:i/>
          <w:color w:val="000000"/>
          <w:sz w:val="22"/>
          <w:szCs w:val="22"/>
        </w:rPr>
      </w:pPr>
    </w:p>
    <w:p w14:paraId="52762992" w14:textId="412E460E" w:rsidR="0038675D"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b/>
          <w:color w:val="000000"/>
          <w:sz w:val="22"/>
          <w:szCs w:val="22"/>
        </w:rPr>
        <w:t>ARTÍCULO TERCERO. PROCEDIMIENTO DE INSCRIPCIÓN.</w:t>
      </w:r>
      <w:r w:rsidRPr="005367E4">
        <w:rPr>
          <w:rFonts w:ascii="Arial" w:hAnsi="Arial" w:cs="Arial"/>
          <w:color w:val="000000"/>
          <w:sz w:val="22"/>
          <w:szCs w:val="22"/>
        </w:rPr>
        <w:t xml:space="preserve"> Las SEDPES que obtengan la autorización de constitución de la Superintendencia Financiera de Colombia, quedarán inscritas en Fogafín una vez se acredite el pago de los derechos de inscripción de la siguiente forma:</w:t>
      </w:r>
    </w:p>
    <w:p w14:paraId="1A25AA12" w14:textId="77777777" w:rsidR="0038675D" w:rsidRPr="005367E4" w:rsidRDefault="0038675D" w:rsidP="0038675D">
      <w:pPr>
        <w:autoSpaceDE w:val="0"/>
        <w:autoSpaceDN w:val="0"/>
        <w:adjustRightInd w:val="0"/>
        <w:jc w:val="both"/>
        <w:rPr>
          <w:rFonts w:ascii="Arial" w:hAnsi="Arial" w:cs="Arial"/>
          <w:color w:val="000000"/>
          <w:sz w:val="22"/>
          <w:szCs w:val="22"/>
        </w:rPr>
      </w:pPr>
    </w:p>
    <w:p w14:paraId="31FA3AD3" w14:textId="77777777" w:rsidR="0038675D"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b/>
          <w:bCs/>
          <w:color w:val="000000"/>
          <w:sz w:val="22"/>
          <w:szCs w:val="22"/>
        </w:rPr>
        <w:t>1º)</w:t>
      </w:r>
      <w:r w:rsidRPr="005367E4">
        <w:rPr>
          <w:rFonts w:ascii="Arial" w:hAnsi="Arial" w:cs="Arial"/>
          <w:color w:val="000000"/>
          <w:sz w:val="22"/>
          <w:szCs w:val="22"/>
        </w:rPr>
        <w:t xml:space="preserve"> </w:t>
      </w:r>
      <w:r w:rsidRPr="005367E4">
        <w:rPr>
          <w:rFonts w:ascii="Arial" w:hAnsi="Arial" w:cs="Arial"/>
          <w:b/>
          <w:bCs/>
          <w:color w:val="000000"/>
          <w:sz w:val="22"/>
          <w:szCs w:val="22"/>
        </w:rPr>
        <w:t>Derechos de inscripción:</w:t>
      </w:r>
      <w:r w:rsidRPr="005367E4">
        <w:rPr>
          <w:rFonts w:ascii="Arial" w:hAnsi="Arial" w:cs="Arial"/>
          <w:color w:val="000000"/>
          <w:sz w:val="22"/>
          <w:szCs w:val="22"/>
        </w:rPr>
        <w:t xml:space="preserve"> Corresponde a un único pago equivalente al 0.115 por mil del capital suscrito que tenga la SEDPE al momento de su constitución, de acuerdo con la autorización impartida por la Superintendencia Financiera de Colombia.</w:t>
      </w:r>
    </w:p>
    <w:p w14:paraId="67AF72A9" w14:textId="77777777" w:rsidR="0038675D" w:rsidRPr="005367E4" w:rsidRDefault="0038675D" w:rsidP="0038675D">
      <w:pPr>
        <w:jc w:val="both"/>
        <w:rPr>
          <w:rFonts w:ascii="Arial" w:hAnsi="Arial" w:cs="Arial"/>
          <w:color w:val="000000"/>
          <w:sz w:val="22"/>
          <w:szCs w:val="22"/>
        </w:rPr>
      </w:pPr>
    </w:p>
    <w:p w14:paraId="50CEBE92" w14:textId="77777777" w:rsidR="0038675D" w:rsidRPr="005367E4" w:rsidRDefault="0038675D" w:rsidP="0038675D">
      <w:pPr>
        <w:jc w:val="both"/>
        <w:rPr>
          <w:rFonts w:ascii="Arial" w:hAnsi="Arial" w:cs="Arial"/>
          <w:color w:val="000000"/>
          <w:sz w:val="22"/>
          <w:szCs w:val="22"/>
        </w:rPr>
      </w:pPr>
      <w:r w:rsidRPr="005367E4">
        <w:rPr>
          <w:rFonts w:ascii="Arial" w:hAnsi="Arial" w:cs="Arial"/>
          <w:b/>
          <w:bCs/>
          <w:color w:val="000000"/>
          <w:sz w:val="22"/>
          <w:szCs w:val="22"/>
        </w:rPr>
        <w:t>2º)</w:t>
      </w:r>
      <w:r w:rsidRPr="005367E4">
        <w:rPr>
          <w:rFonts w:ascii="Arial" w:hAnsi="Arial" w:cs="Arial"/>
          <w:color w:val="000000"/>
          <w:sz w:val="22"/>
          <w:szCs w:val="22"/>
        </w:rPr>
        <w:t xml:space="preserve"> </w:t>
      </w:r>
      <w:r w:rsidRPr="005367E4">
        <w:rPr>
          <w:rFonts w:ascii="Arial" w:hAnsi="Arial" w:cs="Arial"/>
          <w:b/>
          <w:bCs/>
          <w:color w:val="000000"/>
          <w:sz w:val="22"/>
          <w:szCs w:val="22"/>
        </w:rPr>
        <w:t>Medio de pago:</w:t>
      </w:r>
      <w:r w:rsidRPr="005367E4">
        <w:rPr>
          <w:rFonts w:ascii="Arial" w:hAnsi="Arial" w:cs="Arial"/>
          <w:color w:val="000000"/>
          <w:sz w:val="22"/>
          <w:szCs w:val="22"/>
        </w:rPr>
        <w:t xml:space="preserve"> Los derechos de inscripción deberán pagarse a través del Servicio Electrónico del Banco de la República (SEBRA), acreditando la cuenta única de depósito No. 62090014, portafolio 0 (cero) a nombre del Fondo de Garantías de Instituciones Financieras. </w:t>
      </w:r>
    </w:p>
    <w:p w14:paraId="2671C693" w14:textId="77777777" w:rsidR="0038675D" w:rsidRPr="005367E4" w:rsidRDefault="0038675D" w:rsidP="0038675D">
      <w:pPr>
        <w:jc w:val="both"/>
        <w:rPr>
          <w:rFonts w:ascii="Arial" w:hAnsi="Arial" w:cs="Arial"/>
          <w:color w:val="000000"/>
          <w:sz w:val="22"/>
          <w:szCs w:val="22"/>
        </w:rPr>
      </w:pPr>
    </w:p>
    <w:p w14:paraId="75DBBF94" w14:textId="77777777" w:rsidR="0038675D" w:rsidRPr="005367E4" w:rsidRDefault="0038675D" w:rsidP="0038675D">
      <w:pPr>
        <w:jc w:val="both"/>
        <w:rPr>
          <w:rFonts w:ascii="Arial" w:hAnsi="Arial" w:cs="Arial"/>
          <w:color w:val="000000"/>
          <w:sz w:val="22"/>
          <w:szCs w:val="22"/>
        </w:rPr>
      </w:pPr>
      <w:r w:rsidRPr="005367E4">
        <w:rPr>
          <w:rFonts w:ascii="Arial" w:hAnsi="Arial" w:cs="Arial"/>
          <w:color w:val="000000"/>
          <w:sz w:val="22"/>
          <w:szCs w:val="22"/>
        </w:rPr>
        <w:t>Las SEDPES que no cuenten directamente con el Servicio Electrónico del Banco de la República (SEBRA) podrán utilizar intermediarios, para lo cual éstos deben cumplir con todos los requisitos aplicables para tales efectos.</w:t>
      </w:r>
    </w:p>
    <w:p w14:paraId="0A518A3A" w14:textId="77777777" w:rsidR="0038675D" w:rsidRPr="005367E4" w:rsidRDefault="0038675D" w:rsidP="0038675D">
      <w:pPr>
        <w:autoSpaceDE w:val="0"/>
        <w:autoSpaceDN w:val="0"/>
        <w:adjustRightInd w:val="0"/>
        <w:jc w:val="both"/>
        <w:rPr>
          <w:rFonts w:ascii="Arial" w:hAnsi="Arial" w:cs="Arial"/>
          <w:color w:val="000000"/>
          <w:sz w:val="22"/>
          <w:szCs w:val="22"/>
        </w:rPr>
      </w:pPr>
    </w:p>
    <w:p w14:paraId="7530977A" w14:textId="77777777" w:rsidR="0038675D"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b/>
          <w:bCs/>
          <w:color w:val="000000"/>
          <w:sz w:val="22"/>
          <w:szCs w:val="22"/>
        </w:rPr>
        <w:t>3º)</w:t>
      </w:r>
      <w:r w:rsidRPr="005367E4">
        <w:rPr>
          <w:rFonts w:ascii="Arial" w:hAnsi="Arial" w:cs="Arial"/>
          <w:color w:val="000000"/>
          <w:sz w:val="22"/>
          <w:szCs w:val="22"/>
        </w:rPr>
        <w:t xml:space="preserve"> </w:t>
      </w:r>
      <w:r w:rsidRPr="005367E4">
        <w:rPr>
          <w:rFonts w:ascii="Arial" w:hAnsi="Arial" w:cs="Arial"/>
          <w:b/>
          <w:bCs/>
          <w:color w:val="000000"/>
          <w:sz w:val="22"/>
          <w:szCs w:val="22"/>
        </w:rPr>
        <w:t>Inscripción:</w:t>
      </w:r>
      <w:r w:rsidRPr="005367E4">
        <w:rPr>
          <w:rFonts w:ascii="Arial" w:hAnsi="Arial" w:cs="Arial"/>
          <w:color w:val="000000"/>
          <w:sz w:val="22"/>
          <w:szCs w:val="22"/>
        </w:rPr>
        <w:t xml:space="preserve"> Acreditado el pago de los derechos correspondientes, el Fondo comunicará por medio electrónico a la SEDPE sobre la formalización de su inscripción. </w:t>
      </w:r>
    </w:p>
    <w:p w14:paraId="64301D4D" w14:textId="77777777" w:rsidR="0038675D" w:rsidRPr="005367E4" w:rsidRDefault="0038675D" w:rsidP="0038675D">
      <w:pPr>
        <w:autoSpaceDE w:val="0"/>
        <w:autoSpaceDN w:val="0"/>
        <w:adjustRightInd w:val="0"/>
        <w:jc w:val="both"/>
        <w:rPr>
          <w:rFonts w:ascii="Arial" w:hAnsi="Arial" w:cs="Arial"/>
          <w:b/>
          <w:color w:val="000000"/>
          <w:sz w:val="22"/>
          <w:szCs w:val="22"/>
        </w:rPr>
      </w:pPr>
    </w:p>
    <w:p w14:paraId="24E10816" w14:textId="10C89838" w:rsidR="0038675D"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b/>
          <w:color w:val="000000"/>
          <w:sz w:val="22"/>
          <w:szCs w:val="22"/>
        </w:rPr>
        <w:t xml:space="preserve">PARÁGRAFO PRIMERO. </w:t>
      </w:r>
      <w:r w:rsidRPr="005367E4">
        <w:rPr>
          <w:rFonts w:ascii="Arial" w:hAnsi="Arial" w:cs="Arial"/>
          <w:color w:val="000000"/>
          <w:sz w:val="22"/>
          <w:szCs w:val="22"/>
        </w:rPr>
        <w:t>El Fondo informará a la Superintendencia Financiera de Colombia una vez la SEDPE se encuentre formalmente inscrita.</w:t>
      </w:r>
    </w:p>
    <w:p w14:paraId="68000A28" w14:textId="77777777" w:rsidR="0038675D" w:rsidRPr="005367E4" w:rsidRDefault="0038675D" w:rsidP="0038675D">
      <w:pPr>
        <w:autoSpaceDE w:val="0"/>
        <w:autoSpaceDN w:val="0"/>
        <w:adjustRightInd w:val="0"/>
        <w:jc w:val="both"/>
        <w:rPr>
          <w:rFonts w:ascii="Arial" w:hAnsi="Arial" w:cs="Arial"/>
          <w:b/>
          <w:color w:val="000000"/>
          <w:sz w:val="22"/>
          <w:szCs w:val="22"/>
        </w:rPr>
      </w:pPr>
    </w:p>
    <w:p w14:paraId="64929C63" w14:textId="3F1F922C" w:rsidR="0038675D" w:rsidRPr="005367E4" w:rsidRDefault="0038675D" w:rsidP="0038675D">
      <w:pPr>
        <w:autoSpaceDE w:val="0"/>
        <w:autoSpaceDN w:val="0"/>
        <w:adjustRightInd w:val="0"/>
        <w:jc w:val="both"/>
        <w:rPr>
          <w:rFonts w:ascii="Arial" w:hAnsi="Arial" w:cs="Arial"/>
          <w:color w:val="000000"/>
          <w:sz w:val="22"/>
          <w:szCs w:val="22"/>
        </w:rPr>
      </w:pPr>
      <w:r w:rsidRPr="005367E4">
        <w:rPr>
          <w:rFonts w:ascii="Arial" w:hAnsi="Arial" w:cs="Arial"/>
          <w:b/>
          <w:color w:val="000000"/>
          <w:sz w:val="22"/>
          <w:szCs w:val="22"/>
        </w:rPr>
        <w:t xml:space="preserve">PARÁGRAFO SEGUNDO. </w:t>
      </w:r>
      <w:r w:rsidRPr="005367E4">
        <w:rPr>
          <w:rFonts w:ascii="Arial" w:hAnsi="Arial" w:cs="Arial"/>
          <w:color w:val="000000"/>
          <w:sz w:val="22"/>
          <w:szCs w:val="22"/>
        </w:rPr>
        <w:t xml:space="preserve">Las SEDPES inscritas en el Fondo, que obtengan autorización de conversión para desarrollar el objeto social de cualquiera otra clase de institución que deba estar inscrita conforme a la presente Resolución, no requerirán adelantar gestión de inscripción adicional. </w:t>
      </w:r>
    </w:p>
    <w:p w14:paraId="67866578" w14:textId="77777777" w:rsidR="0038675D" w:rsidRPr="005367E4" w:rsidRDefault="0038675D" w:rsidP="0038675D">
      <w:pPr>
        <w:autoSpaceDE w:val="0"/>
        <w:autoSpaceDN w:val="0"/>
        <w:adjustRightInd w:val="0"/>
        <w:jc w:val="both"/>
        <w:rPr>
          <w:rFonts w:ascii="Arial" w:hAnsi="Arial" w:cs="Arial"/>
          <w:b/>
          <w:color w:val="000000"/>
          <w:sz w:val="22"/>
          <w:szCs w:val="22"/>
        </w:rPr>
      </w:pPr>
    </w:p>
    <w:p w14:paraId="29EF8ED4" w14:textId="3AF45A18" w:rsidR="0038675D" w:rsidRPr="00333B2D" w:rsidRDefault="0038675D" w:rsidP="0038675D">
      <w:pPr>
        <w:autoSpaceDE w:val="0"/>
        <w:autoSpaceDN w:val="0"/>
        <w:adjustRightInd w:val="0"/>
        <w:jc w:val="both"/>
        <w:rPr>
          <w:rFonts w:ascii="Arial" w:hAnsi="Arial" w:cs="Arial"/>
          <w:color w:val="000000"/>
          <w:sz w:val="22"/>
          <w:szCs w:val="22"/>
        </w:rPr>
      </w:pPr>
      <w:r w:rsidRPr="00333B2D">
        <w:rPr>
          <w:rFonts w:ascii="Arial" w:hAnsi="Arial" w:cs="Arial"/>
          <w:b/>
          <w:color w:val="000000"/>
          <w:sz w:val="22"/>
          <w:szCs w:val="22"/>
        </w:rPr>
        <w:lastRenderedPageBreak/>
        <w:t>ARTÍCULO CUARTO. ACREENCIA</w:t>
      </w:r>
      <w:r w:rsidR="00FD4FAA" w:rsidRPr="00333B2D">
        <w:rPr>
          <w:rFonts w:ascii="Arial" w:hAnsi="Arial" w:cs="Arial"/>
          <w:b/>
          <w:color w:val="000000"/>
          <w:sz w:val="22"/>
          <w:szCs w:val="22"/>
        </w:rPr>
        <w:t>S</w:t>
      </w:r>
      <w:r w:rsidRPr="00333B2D">
        <w:rPr>
          <w:rFonts w:ascii="Arial" w:hAnsi="Arial" w:cs="Arial"/>
          <w:b/>
          <w:color w:val="000000"/>
          <w:sz w:val="22"/>
          <w:szCs w:val="22"/>
        </w:rPr>
        <w:t xml:space="preserve"> AMPARADA</w:t>
      </w:r>
      <w:r w:rsidR="00FD4FAA" w:rsidRPr="00333B2D">
        <w:rPr>
          <w:rFonts w:ascii="Arial" w:hAnsi="Arial" w:cs="Arial"/>
          <w:b/>
          <w:color w:val="000000"/>
          <w:sz w:val="22"/>
          <w:szCs w:val="22"/>
        </w:rPr>
        <w:t>S</w:t>
      </w:r>
      <w:r w:rsidRPr="00333B2D">
        <w:rPr>
          <w:rFonts w:ascii="Arial" w:hAnsi="Arial" w:cs="Arial"/>
          <w:b/>
          <w:color w:val="000000"/>
          <w:sz w:val="22"/>
          <w:szCs w:val="22"/>
        </w:rPr>
        <w:t xml:space="preserve">. </w:t>
      </w:r>
      <w:r w:rsidRPr="00333B2D">
        <w:rPr>
          <w:rFonts w:ascii="Arial" w:hAnsi="Arial" w:cs="Arial"/>
          <w:color w:val="000000"/>
          <w:sz w:val="22"/>
          <w:szCs w:val="22"/>
        </w:rPr>
        <w:t xml:space="preserve">Los depósitos de bajo monto y los depósitos ordinarios captados </w:t>
      </w:r>
      <w:r w:rsidRPr="00333B2D">
        <w:rPr>
          <w:rFonts w:ascii="Arial" w:hAnsi="Arial" w:cs="Arial"/>
          <w:b/>
          <w:bCs/>
          <w:color w:val="000000"/>
          <w:sz w:val="22"/>
          <w:szCs w:val="22"/>
          <w:u w:val="single"/>
        </w:rPr>
        <w:t>en moneda legal</w:t>
      </w:r>
      <w:r w:rsidRPr="00333B2D">
        <w:rPr>
          <w:rFonts w:ascii="Arial" w:hAnsi="Arial" w:cs="Arial"/>
          <w:color w:val="000000"/>
          <w:sz w:val="22"/>
          <w:szCs w:val="22"/>
        </w:rPr>
        <w:t xml:space="preserve"> por las SEDPES son acreencias amparadas por el Seguro de Depósitos.</w:t>
      </w:r>
    </w:p>
    <w:p w14:paraId="66471382" w14:textId="77777777" w:rsidR="0038675D" w:rsidRPr="00333B2D" w:rsidRDefault="0038675D" w:rsidP="0038675D">
      <w:pPr>
        <w:autoSpaceDE w:val="0"/>
        <w:autoSpaceDN w:val="0"/>
        <w:adjustRightInd w:val="0"/>
        <w:jc w:val="both"/>
        <w:rPr>
          <w:rFonts w:ascii="Arial" w:hAnsi="Arial" w:cs="Arial"/>
          <w:color w:val="000000"/>
          <w:sz w:val="22"/>
          <w:szCs w:val="22"/>
        </w:rPr>
      </w:pPr>
    </w:p>
    <w:p w14:paraId="3BC1AA7B" w14:textId="4CD30FCF" w:rsidR="0038675D" w:rsidRPr="00333B2D" w:rsidRDefault="0038675D" w:rsidP="0038675D">
      <w:pPr>
        <w:autoSpaceDE w:val="0"/>
        <w:autoSpaceDN w:val="0"/>
        <w:adjustRightInd w:val="0"/>
        <w:jc w:val="both"/>
        <w:rPr>
          <w:rFonts w:ascii="Arial" w:hAnsi="Arial" w:cs="Arial"/>
          <w:b/>
          <w:bCs/>
          <w:color w:val="000000"/>
          <w:sz w:val="22"/>
          <w:szCs w:val="22"/>
          <w:u w:val="single"/>
        </w:rPr>
      </w:pPr>
      <w:r w:rsidRPr="00333B2D">
        <w:rPr>
          <w:rFonts w:ascii="Arial" w:hAnsi="Arial" w:cs="Arial"/>
          <w:b/>
          <w:bCs/>
          <w:color w:val="000000"/>
          <w:sz w:val="22"/>
          <w:szCs w:val="22"/>
          <w:u w:val="single"/>
        </w:rPr>
        <w:t>PARÁGRAFO</w:t>
      </w:r>
      <w:r w:rsidR="00845692" w:rsidRPr="00333B2D">
        <w:rPr>
          <w:rFonts w:ascii="Arial" w:hAnsi="Arial" w:cs="Arial"/>
          <w:b/>
          <w:bCs/>
          <w:color w:val="000000"/>
          <w:sz w:val="22"/>
          <w:szCs w:val="22"/>
          <w:u w:val="single"/>
        </w:rPr>
        <w:t xml:space="preserve"> PRIMERO</w:t>
      </w:r>
      <w:r w:rsidRPr="00333B2D">
        <w:rPr>
          <w:rFonts w:ascii="Arial" w:hAnsi="Arial" w:cs="Arial"/>
          <w:b/>
          <w:bCs/>
          <w:color w:val="000000"/>
          <w:sz w:val="22"/>
          <w:szCs w:val="22"/>
          <w:u w:val="single"/>
        </w:rPr>
        <w:t>. Se entenderán como acreencias amparadas los depósitos de bajo monto y depósitos ordinarios captados en moneda extranjera en Colombia siempre que estén contemplados en la reglamentación cambiaria vigente expedida por la Junta Directiva del Banco de la República.</w:t>
      </w:r>
    </w:p>
    <w:p w14:paraId="3DCB1D41" w14:textId="77777777" w:rsidR="002B16B6" w:rsidRPr="008460D6" w:rsidRDefault="002B16B6" w:rsidP="0038675D">
      <w:pPr>
        <w:autoSpaceDE w:val="0"/>
        <w:autoSpaceDN w:val="0"/>
        <w:adjustRightInd w:val="0"/>
        <w:jc w:val="both"/>
        <w:rPr>
          <w:rFonts w:ascii="Arial" w:hAnsi="Arial" w:cs="Arial"/>
          <w:b/>
          <w:bCs/>
          <w:color w:val="000000"/>
          <w:sz w:val="22"/>
          <w:szCs w:val="22"/>
          <w:u w:val="single"/>
        </w:rPr>
      </w:pPr>
    </w:p>
    <w:p w14:paraId="00D6BAFE" w14:textId="5E85F6D2" w:rsidR="00845692" w:rsidRPr="008460D6" w:rsidRDefault="00845692" w:rsidP="00845692">
      <w:pPr>
        <w:autoSpaceDE w:val="0"/>
        <w:autoSpaceDN w:val="0"/>
        <w:adjustRightInd w:val="0"/>
        <w:jc w:val="both"/>
        <w:rPr>
          <w:rFonts w:ascii="Arial" w:hAnsi="Arial" w:cs="Arial"/>
          <w:b/>
          <w:bCs/>
          <w:color w:val="000000"/>
          <w:sz w:val="22"/>
          <w:szCs w:val="22"/>
          <w:u w:val="single"/>
        </w:rPr>
      </w:pPr>
      <w:r w:rsidRPr="008460D6">
        <w:rPr>
          <w:rFonts w:ascii="Arial" w:hAnsi="Arial" w:cs="Arial"/>
          <w:b/>
          <w:bCs/>
          <w:color w:val="000000"/>
          <w:sz w:val="22"/>
          <w:szCs w:val="22"/>
          <w:u w:val="single"/>
        </w:rPr>
        <w:t>PARÁGRAFO SEGUNDO. El Seguro de Depósitos no amparará en ningún caso intereses de mora a cargo de la SEDPE en liquidación, ni otorgará derecho a sus beneficiarios para exigir tal clase de intereses al Fondo de Garantías de Instituciones Financieras.</w:t>
      </w:r>
    </w:p>
    <w:p w14:paraId="48D04C75" w14:textId="77777777" w:rsidR="00845692" w:rsidRPr="008460D6" w:rsidRDefault="00845692" w:rsidP="00845692">
      <w:pPr>
        <w:autoSpaceDE w:val="0"/>
        <w:autoSpaceDN w:val="0"/>
        <w:adjustRightInd w:val="0"/>
        <w:jc w:val="both"/>
        <w:rPr>
          <w:rFonts w:ascii="Arial" w:hAnsi="Arial" w:cs="Arial"/>
          <w:b/>
          <w:bCs/>
          <w:color w:val="000000"/>
          <w:sz w:val="22"/>
          <w:szCs w:val="22"/>
          <w:u w:val="single"/>
        </w:rPr>
      </w:pPr>
    </w:p>
    <w:p w14:paraId="3E0D8320" w14:textId="7A120875" w:rsidR="00845692" w:rsidRDefault="00845692" w:rsidP="00845692">
      <w:pPr>
        <w:autoSpaceDE w:val="0"/>
        <w:autoSpaceDN w:val="0"/>
        <w:adjustRightInd w:val="0"/>
        <w:jc w:val="both"/>
        <w:rPr>
          <w:rFonts w:ascii="Arial" w:hAnsi="Arial" w:cs="Arial"/>
          <w:color w:val="000000"/>
          <w:sz w:val="22"/>
          <w:szCs w:val="22"/>
        </w:rPr>
      </w:pPr>
      <w:r w:rsidRPr="008460D6">
        <w:rPr>
          <w:rFonts w:ascii="Arial" w:hAnsi="Arial" w:cs="Arial"/>
          <w:b/>
          <w:bCs/>
          <w:color w:val="000000"/>
          <w:sz w:val="22"/>
          <w:szCs w:val="22"/>
          <w:u w:val="single"/>
        </w:rPr>
        <w:t>Están excluidas del amparo del Seguro de Depósitos las acreencias cuyo(s) titular(es) las haya(n) adquirido en pago de pasivos a cargo de la institución en liquidación, no cubiertos por el mencionado Seguro.</w:t>
      </w:r>
    </w:p>
    <w:p w14:paraId="6857F70B" w14:textId="77777777" w:rsidR="002B16B6" w:rsidRDefault="002B16B6" w:rsidP="0038675D">
      <w:pPr>
        <w:autoSpaceDE w:val="0"/>
        <w:autoSpaceDN w:val="0"/>
        <w:adjustRightInd w:val="0"/>
        <w:jc w:val="both"/>
        <w:rPr>
          <w:rFonts w:ascii="Arial" w:hAnsi="Arial" w:cs="Arial"/>
          <w:color w:val="000000"/>
          <w:sz w:val="22"/>
          <w:szCs w:val="22"/>
        </w:rPr>
      </w:pPr>
    </w:p>
    <w:p w14:paraId="5734BFD8" w14:textId="77777777" w:rsidR="002B16B6" w:rsidRDefault="002B16B6" w:rsidP="0038675D">
      <w:pPr>
        <w:autoSpaceDE w:val="0"/>
        <w:autoSpaceDN w:val="0"/>
        <w:adjustRightInd w:val="0"/>
        <w:jc w:val="both"/>
        <w:rPr>
          <w:rFonts w:ascii="Arial" w:hAnsi="Arial" w:cs="Arial"/>
          <w:color w:val="000000"/>
          <w:sz w:val="22"/>
          <w:szCs w:val="22"/>
        </w:rPr>
      </w:pPr>
    </w:p>
    <w:p w14:paraId="63F9BA4F" w14:textId="73A5C350" w:rsidR="0038675D" w:rsidRPr="005C6A16" w:rsidRDefault="0038675D" w:rsidP="0038675D">
      <w:pPr>
        <w:autoSpaceDE w:val="0"/>
        <w:autoSpaceDN w:val="0"/>
        <w:adjustRightInd w:val="0"/>
        <w:jc w:val="center"/>
        <w:outlineLvl w:val="0"/>
        <w:rPr>
          <w:rFonts w:ascii="Arial" w:hAnsi="Arial" w:cs="Arial"/>
          <w:b/>
          <w:color w:val="000000"/>
          <w:sz w:val="22"/>
          <w:szCs w:val="22"/>
          <w:lang w:val="es-CO"/>
        </w:rPr>
      </w:pPr>
      <w:r w:rsidRPr="005C6A16">
        <w:rPr>
          <w:rFonts w:ascii="Arial" w:hAnsi="Arial" w:cs="Arial"/>
          <w:b/>
          <w:color w:val="000000"/>
          <w:sz w:val="22"/>
          <w:szCs w:val="22"/>
          <w:lang w:val="es-CO"/>
        </w:rPr>
        <w:t>CAPÍTULO II – PAGO DE PRIMAS POR CONCEPTO DEL SEGURO DE DEPOSITO</w:t>
      </w:r>
      <w:r w:rsidR="0053518E" w:rsidRPr="005C6A16">
        <w:rPr>
          <w:rFonts w:ascii="Arial" w:hAnsi="Arial" w:cs="Arial"/>
          <w:b/>
          <w:color w:val="000000"/>
          <w:sz w:val="22"/>
          <w:szCs w:val="22"/>
          <w:lang w:val="es-CO"/>
        </w:rPr>
        <w:t>S</w:t>
      </w:r>
    </w:p>
    <w:p w14:paraId="02252598" w14:textId="77777777" w:rsidR="002B16B6" w:rsidRPr="005C6A16" w:rsidRDefault="002B16B6" w:rsidP="0038675D">
      <w:pPr>
        <w:autoSpaceDE w:val="0"/>
        <w:autoSpaceDN w:val="0"/>
        <w:adjustRightInd w:val="0"/>
        <w:jc w:val="center"/>
        <w:outlineLvl w:val="0"/>
        <w:rPr>
          <w:rFonts w:ascii="Arial" w:hAnsi="Arial" w:cs="Arial"/>
          <w:b/>
          <w:color w:val="000000"/>
          <w:sz w:val="22"/>
          <w:szCs w:val="22"/>
          <w:lang w:val="es-CO"/>
        </w:rPr>
      </w:pPr>
    </w:p>
    <w:p w14:paraId="7E6D5D5C" w14:textId="2DCFAD7A" w:rsidR="0038675D" w:rsidRPr="005C6A16" w:rsidRDefault="000F2975" w:rsidP="00817D78">
      <w:pPr>
        <w:autoSpaceDE w:val="0"/>
        <w:autoSpaceDN w:val="0"/>
        <w:adjustRightInd w:val="0"/>
        <w:jc w:val="both"/>
        <w:rPr>
          <w:rFonts w:ascii="Arial" w:hAnsi="Arial" w:cs="Arial"/>
          <w:b/>
          <w:strike/>
          <w:color w:val="000000"/>
          <w:sz w:val="22"/>
          <w:szCs w:val="22"/>
          <w:u w:val="single"/>
          <w:lang w:val="es-CO"/>
        </w:rPr>
      </w:pPr>
      <w:r w:rsidRPr="00817D78">
        <w:rPr>
          <w:rFonts w:ascii="Arial" w:hAnsi="Arial" w:cs="Arial"/>
          <w:b/>
          <w:strike/>
          <w:color w:val="000000"/>
          <w:sz w:val="22"/>
          <w:szCs w:val="22"/>
          <w:u w:val="single"/>
        </w:rPr>
        <w:t>ARTÍCULO QUINTO. - PRIMAS A CARGO DE LAS SEDPES. Las SEDPES inscritas deberán pagar una prima anual por Seguro de Depósitos correspondiente al cero punto quince por ciento (0.15%) anual del monto de los depósitos de bajo monto y de los depósitos ordinarios amparados por esta Resolución.</w:t>
      </w:r>
    </w:p>
    <w:p w14:paraId="3A63C34D" w14:textId="77777777" w:rsidR="002C1E26" w:rsidRDefault="002C1E26" w:rsidP="0038675D">
      <w:pPr>
        <w:autoSpaceDE w:val="0"/>
        <w:autoSpaceDN w:val="0"/>
        <w:adjustRightInd w:val="0"/>
        <w:jc w:val="both"/>
        <w:rPr>
          <w:rFonts w:ascii="Arial" w:hAnsi="Arial" w:cs="Arial"/>
          <w:b/>
          <w:color w:val="000000"/>
          <w:sz w:val="22"/>
          <w:szCs w:val="22"/>
          <w:u w:val="single"/>
        </w:rPr>
      </w:pPr>
    </w:p>
    <w:p w14:paraId="27BF4877" w14:textId="3794A32D" w:rsidR="00294F92" w:rsidRPr="002419C0" w:rsidRDefault="0038675D" w:rsidP="0038675D">
      <w:pPr>
        <w:autoSpaceDE w:val="0"/>
        <w:autoSpaceDN w:val="0"/>
        <w:adjustRightInd w:val="0"/>
        <w:jc w:val="both"/>
        <w:rPr>
          <w:rFonts w:ascii="Arial" w:hAnsi="Arial" w:cs="Arial"/>
          <w:b/>
          <w:color w:val="000000"/>
          <w:sz w:val="22"/>
          <w:szCs w:val="22"/>
          <w:u w:val="single"/>
        </w:rPr>
      </w:pPr>
      <w:r w:rsidRPr="002419C0">
        <w:rPr>
          <w:rFonts w:ascii="Arial" w:hAnsi="Arial" w:cs="Arial"/>
          <w:b/>
          <w:color w:val="000000"/>
          <w:sz w:val="22"/>
          <w:szCs w:val="22"/>
          <w:u w:val="single"/>
        </w:rPr>
        <w:t xml:space="preserve">ARTÍCULO QUINTO. </w:t>
      </w:r>
      <w:r w:rsidR="00294F92" w:rsidRPr="002419C0">
        <w:rPr>
          <w:rFonts w:ascii="Arial" w:hAnsi="Arial" w:cs="Arial"/>
          <w:b/>
          <w:color w:val="000000"/>
          <w:sz w:val="22"/>
          <w:szCs w:val="22"/>
          <w:u w:val="single"/>
        </w:rPr>
        <w:t>P</w:t>
      </w:r>
      <w:r w:rsidR="005055BA">
        <w:rPr>
          <w:rFonts w:ascii="Arial" w:hAnsi="Arial" w:cs="Arial"/>
          <w:b/>
          <w:color w:val="000000"/>
          <w:sz w:val="22"/>
          <w:szCs w:val="22"/>
          <w:u w:val="single"/>
        </w:rPr>
        <w:t>RIMA</w:t>
      </w:r>
      <w:r w:rsidR="00C966FA">
        <w:rPr>
          <w:rFonts w:ascii="Arial" w:hAnsi="Arial" w:cs="Arial"/>
          <w:b/>
          <w:color w:val="000000"/>
          <w:sz w:val="22"/>
          <w:szCs w:val="22"/>
          <w:u w:val="single"/>
        </w:rPr>
        <w:t>S</w:t>
      </w:r>
      <w:r w:rsidR="005055BA">
        <w:rPr>
          <w:rFonts w:ascii="Arial" w:hAnsi="Arial" w:cs="Arial"/>
          <w:b/>
          <w:color w:val="000000"/>
          <w:sz w:val="22"/>
          <w:szCs w:val="22"/>
          <w:u w:val="single"/>
        </w:rPr>
        <w:t xml:space="preserve"> A CARGO DE LAS SEDPES</w:t>
      </w:r>
      <w:r w:rsidRPr="002419C0">
        <w:rPr>
          <w:rFonts w:ascii="Arial" w:hAnsi="Arial" w:cs="Arial"/>
          <w:b/>
          <w:color w:val="000000"/>
          <w:sz w:val="22"/>
          <w:szCs w:val="22"/>
          <w:u w:val="single"/>
        </w:rPr>
        <w:t xml:space="preserve">. Las SEDPES inscritas deberán pagar </w:t>
      </w:r>
      <w:r w:rsidR="00307B2E" w:rsidRPr="002419C0">
        <w:rPr>
          <w:rFonts w:ascii="Arial" w:hAnsi="Arial" w:cs="Arial"/>
          <w:b/>
          <w:color w:val="000000"/>
          <w:sz w:val="22"/>
          <w:szCs w:val="22"/>
          <w:u w:val="single"/>
        </w:rPr>
        <w:t xml:space="preserve">trimestralmente </w:t>
      </w:r>
      <w:r w:rsidRPr="002419C0">
        <w:rPr>
          <w:rFonts w:ascii="Arial" w:hAnsi="Arial" w:cs="Arial"/>
          <w:b/>
          <w:color w:val="000000"/>
          <w:sz w:val="22"/>
          <w:szCs w:val="22"/>
          <w:u w:val="single"/>
        </w:rPr>
        <w:t xml:space="preserve">una prima </w:t>
      </w:r>
      <w:r w:rsidR="00294F92" w:rsidRPr="002419C0">
        <w:rPr>
          <w:rFonts w:ascii="Arial" w:hAnsi="Arial" w:cs="Arial"/>
          <w:b/>
          <w:color w:val="000000"/>
          <w:sz w:val="22"/>
          <w:szCs w:val="22"/>
          <w:u w:val="single"/>
        </w:rPr>
        <w:t xml:space="preserve">diferencial </w:t>
      </w:r>
      <w:r w:rsidRPr="002419C0">
        <w:rPr>
          <w:rFonts w:ascii="Arial" w:hAnsi="Arial" w:cs="Arial"/>
          <w:b/>
          <w:color w:val="000000"/>
          <w:sz w:val="22"/>
          <w:szCs w:val="22"/>
          <w:u w:val="single"/>
        </w:rPr>
        <w:t>por Seguro de Depósitos</w:t>
      </w:r>
      <w:r w:rsidR="00076001" w:rsidRPr="002419C0">
        <w:rPr>
          <w:rFonts w:ascii="Arial" w:hAnsi="Arial" w:cs="Arial"/>
          <w:b/>
          <w:color w:val="000000"/>
          <w:sz w:val="22"/>
          <w:szCs w:val="22"/>
          <w:u w:val="single"/>
        </w:rPr>
        <w:t>, calculada de acuerdo con la siguiente fórmula</w:t>
      </w:r>
      <w:r w:rsidR="00294F92" w:rsidRPr="002419C0">
        <w:rPr>
          <w:rFonts w:ascii="Arial" w:hAnsi="Arial" w:cs="Arial"/>
          <w:b/>
          <w:color w:val="000000"/>
          <w:sz w:val="22"/>
          <w:szCs w:val="22"/>
          <w:u w:val="single"/>
        </w:rPr>
        <w:t>:</w:t>
      </w:r>
    </w:p>
    <w:p w14:paraId="73DCF908" w14:textId="382421B1" w:rsidR="00294F92" w:rsidRPr="002419C0" w:rsidRDefault="00294F92" w:rsidP="0038675D">
      <w:pPr>
        <w:autoSpaceDE w:val="0"/>
        <w:autoSpaceDN w:val="0"/>
        <w:adjustRightInd w:val="0"/>
        <w:jc w:val="both"/>
        <w:rPr>
          <w:rFonts w:ascii="Arial" w:hAnsi="Arial" w:cs="Arial"/>
          <w:b/>
          <w:color w:val="000000"/>
          <w:sz w:val="22"/>
          <w:szCs w:val="22"/>
          <w:u w:val="single"/>
        </w:rPr>
      </w:pPr>
    </w:p>
    <w:p w14:paraId="76B10821" w14:textId="613C3294" w:rsidR="00294F92" w:rsidRPr="002419C0" w:rsidRDefault="00000000" w:rsidP="0038675D">
      <w:pPr>
        <w:autoSpaceDE w:val="0"/>
        <w:autoSpaceDN w:val="0"/>
        <w:adjustRightInd w:val="0"/>
        <w:jc w:val="both"/>
        <w:rPr>
          <w:rFonts w:ascii="Arial" w:hAnsi="Arial" w:cs="Arial"/>
          <w:b/>
          <w:color w:val="000000"/>
          <w:sz w:val="22"/>
          <w:szCs w:val="22"/>
          <w:u w:val="single"/>
        </w:rPr>
      </w:pPr>
      <m:oMathPara>
        <m:oMath>
          <m:sSub>
            <m:sSubPr>
              <m:ctrlPr>
                <w:rPr>
                  <w:rFonts w:ascii="Cambria Math" w:hAnsi="Cambria Math" w:cs="Arial"/>
                  <w:b/>
                  <w:i/>
                  <w:color w:val="000000"/>
                  <w:sz w:val="22"/>
                  <w:szCs w:val="22"/>
                  <w:u w:val="single"/>
                </w:rPr>
              </m:ctrlPr>
            </m:sSubPr>
            <m:e>
              <m:r>
                <m:rPr>
                  <m:sty m:val="bi"/>
                </m:rPr>
                <w:rPr>
                  <w:rFonts w:ascii="Cambria Math" w:hAnsi="Cambria Math" w:cs="Arial"/>
                  <w:color w:val="000000"/>
                  <w:sz w:val="22"/>
                  <w:szCs w:val="22"/>
                  <w:u w:val="single"/>
                </w:rPr>
                <m:t>Prima diferencial</m:t>
              </m:r>
            </m:e>
            <m:sub>
              <m:r>
                <m:rPr>
                  <m:sty m:val="bi"/>
                </m:rPr>
                <w:rPr>
                  <w:rFonts w:ascii="Cambria Math" w:hAnsi="Cambria Math" w:cs="Arial"/>
                  <w:color w:val="000000"/>
                  <w:sz w:val="22"/>
                  <w:szCs w:val="22"/>
                  <w:u w:val="single"/>
                </w:rPr>
                <m:t>t</m:t>
              </m:r>
            </m:sub>
          </m:sSub>
          <m:r>
            <m:rPr>
              <m:sty m:val="bi"/>
            </m:rPr>
            <w:rPr>
              <w:rFonts w:ascii="Cambria Math" w:hAnsi="Cambria Math" w:cs="Arial"/>
              <w:color w:val="000000"/>
              <w:sz w:val="22"/>
              <w:szCs w:val="22"/>
              <w:u w:val="single"/>
            </w:rPr>
            <m:t>:(0.15%÷4)*</m:t>
          </m:r>
          <m:sSub>
            <m:sSubPr>
              <m:ctrlPr>
                <w:rPr>
                  <w:rFonts w:ascii="Cambria Math" w:hAnsi="Cambria Math" w:cs="Arial"/>
                  <w:b/>
                  <w:i/>
                  <w:color w:val="000000"/>
                  <w:sz w:val="22"/>
                  <w:szCs w:val="22"/>
                  <w:u w:val="single"/>
                </w:rPr>
              </m:ctrlPr>
            </m:sSubPr>
            <m:e>
              <m:r>
                <m:rPr>
                  <m:sty m:val="bi"/>
                </m:rPr>
                <w:rPr>
                  <w:rFonts w:ascii="Cambria Math" w:hAnsi="Cambria Math" w:cs="Arial"/>
                  <w:color w:val="000000"/>
                  <w:sz w:val="22"/>
                  <w:szCs w:val="22"/>
                  <w:u w:val="single"/>
                </w:rPr>
                <m:t>MD</m:t>
              </m:r>
            </m:e>
            <m:sub>
              <m:r>
                <m:rPr>
                  <m:sty m:val="bi"/>
                </m:rPr>
                <w:rPr>
                  <w:rFonts w:ascii="Cambria Math" w:hAnsi="Cambria Math" w:cs="Arial"/>
                  <w:color w:val="000000"/>
                  <w:sz w:val="22"/>
                  <w:szCs w:val="22"/>
                  <w:u w:val="single"/>
                </w:rPr>
                <m:t>t</m:t>
              </m:r>
            </m:sub>
          </m:sSub>
          <m:r>
            <m:rPr>
              <m:sty m:val="bi"/>
            </m:rPr>
            <w:rPr>
              <w:rFonts w:ascii="Cambria Math" w:hAnsi="Cambria Math" w:cs="Arial"/>
              <w:color w:val="000000"/>
              <w:sz w:val="22"/>
              <w:szCs w:val="22"/>
              <w:u w:val="single"/>
            </w:rPr>
            <m:t>*</m:t>
          </m:r>
          <m:sSub>
            <m:sSubPr>
              <m:ctrlPr>
                <w:rPr>
                  <w:rFonts w:ascii="Cambria Math" w:hAnsi="Cambria Math" w:cs="Arial"/>
                  <w:b/>
                  <w:i/>
                  <w:color w:val="000000"/>
                  <w:sz w:val="22"/>
                  <w:szCs w:val="22"/>
                  <w:u w:val="single"/>
                </w:rPr>
              </m:ctrlPr>
            </m:sSubPr>
            <m:e>
              <m:r>
                <m:rPr>
                  <m:sty m:val="bi"/>
                </m:rPr>
                <w:rPr>
                  <w:rFonts w:ascii="Cambria Math" w:hAnsi="Cambria Math" w:cs="Arial"/>
                  <w:color w:val="000000"/>
                  <w:sz w:val="22"/>
                  <w:szCs w:val="22"/>
                  <w:u w:val="single"/>
                </w:rPr>
                <m:t>FAD</m:t>
              </m:r>
            </m:e>
            <m:sub>
              <m:r>
                <m:rPr>
                  <m:sty m:val="bi"/>
                </m:rPr>
                <w:rPr>
                  <w:rFonts w:ascii="Cambria Math" w:hAnsi="Cambria Math" w:cs="Arial"/>
                  <w:color w:val="000000"/>
                  <w:sz w:val="22"/>
                  <w:szCs w:val="22"/>
                  <w:u w:val="single"/>
                </w:rPr>
                <m:t>t</m:t>
              </m:r>
            </m:sub>
          </m:sSub>
        </m:oMath>
      </m:oMathPara>
    </w:p>
    <w:p w14:paraId="70980AB7" w14:textId="77777777" w:rsidR="00294F92" w:rsidRPr="002419C0" w:rsidRDefault="00294F92" w:rsidP="0038675D">
      <w:pPr>
        <w:autoSpaceDE w:val="0"/>
        <w:autoSpaceDN w:val="0"/>
        <w:adjustRightInd w:val="0"/>
        <w:jc w:val="both"/>
        <w:rPr>
          <w:rFonts w:ascii="Arial" w:hAnsi="Arial" w:cs="Arial"/>
          <w:b/>
          <w:color w:val="000000"/>
          <w:sz w:val="22"/>
          <w:szCs w:val="22"/>
          <w:u w:val="single"/>
        </w:rPr>
      </w:pPr>
    </w:p>
    <w:p w14:paraId="7590016B" w14:textId="77777777" w:rsidR="00294F92" w:rsidRPr="002419C0" w:rsidRDefault="00294F92" w:rsidP="0038675D">
      <w:pPr>
        <w:autoSpaceDE w:val="0"/>
        <w:autoSpaceDN w:val="0"/>
        <w:adjustRightInd w:val="0"/>
        <w:jc w:val="both"/>
        <w:rPr>
          <w:rFonts w:ascii="Arial" w:hAnsi="Arial" w:cs="Arial"/>
          <w:b/>
          <w:color w:val="000000"/>
          <w:sz w:val="22"/>
          <w:szCs w:val="22"/>
          <w:u w:val="single"/>
        </w:rPr>
      </w:pPr>
      <w:r w:rsidRPr="002419C0">
        <w:rPr>
          <w:rFonts w:ascii="Arial" w:hAnsi="Arial" w:cs="Arial"/>
          <w:b/>
          <w:color w:val="000000"/>
          <w:sz w:val="22"/>
          <w:szCs w:val="22"/>
          <w:u w:val="single"/>
        </w:rPr>
        <w:t>Donde:</w:t>
      </w:r>
    </w:p>
    <w:p w14:paraId="02AEC30C" w14:textId="77777777" w:rsidR="002B16B6" w:rsidRPr="002419C0" w:rsidRDefault="002B16B6" w:rsidP="0038675D">
      <w:pPr>
        <w:autoSpaceDE w:val="0"/>
        <w:autoSpaceDN w:val="0"/>
        <w:adjustRightInd w:val="0"/>
        <w:jc w:val="both"/>
        <w:rPr>
          <w:rFonts w:ascii="Arial" w:hAnsi="Arial" w:cs="Arial"/>
          <w:b/>
          <w:color w:val="000000"/>
          <w:sz w:val="22"/>
          <w:szCs w:val="22"/>
          <w:u w:val="single"/>
        </w:rPr>
      </w:pPr>
    </w:p>
    <w:p w14:paraId="44A38B82" w14:textId="0F27FF0F" w:rsidR="0038675D" w:rsidRPr="002419C0" w:rsidRDefault="00294F92" w:rsidP="002B16B6">
      <w:pPr>
        <w:pStyle w:val="Prrafodelista"/>
        <w:numPr>
          <w:ilvl w:val="0"/>
          <w:numId w:val="5"/>
        </w:numPr>
        <w:autoSpaceDE w:val="0"/>
        <w:autoSpaceDN w:val="0"/>
        <w:adjustRightInd w:val="0"/>
        <w:jc w:val="both"/>
        <w:rPr>
          <w:rFonts w:ascii="Arial" w:hAnsi="Arial" w:cs="Arial"/>
          <w:b/>
          <w:color w:val="000000"/>
          <w:sz w:val="22"/>
          <w:szCs w:val="22"/>
          <w:u w:val="single"/>
        </w:rPr>
      </w:pPr>
      <w:r w:rsidRPr="002419C0">
        <w:rPr>
          <w:rFonts w:ascii="Arial" w:hAnsi="Arial" w:cs="Arial"/>
          <w:b/>
          <w:color w:val="000000"/>
          <w:sz w:val="22"/>
          <w:szCs w:val="22"/>
          <w:u w:val="single"/>
        </w:rPr>
        <w:t xml:space="preserve">MD: Corresponde al </w:t>
      </w:r>
      <w:r w:rsidR="0038675D" w:rsidRPr="002419C0">
        <w:rPr>
          <w:rFonts w:ascii="Arial" w:hAnsi="Arial" w:cs="Arial"/>
          <w:b/>
          <w:color w:val="000000"/>
          <w:sz w:val="22"/>
          <w:szCs w:val="22"/>
          <w:u w:val="single"/>
        </w:rPr>
        <w:t>monto de los depósitos de bajo monto y de los depósitos ordinarios amparados</w:t>
      </w:r>
      <w:r w:rsidR="00134571" w:rsidRPr="002419C0">
        <w:rPr>
          <w:rFonts w:ascii="Arial" w:hAnsi="Arial" w:cs="Arial"/>
          <w:b/>
          <w:color w:val="000000"/>
          <w:sz w:val="22"/>
          <w:szCs w:val="22"/>
          <w:u w:val="single"/>
        </w:rPr>
        <w:t>, calculado de conformidad</w:t>
      </w:r>
      <w:r w:rsidR="00797106" w:rsidRPr="002419C0">
        <w:rPr>
          <w:rFonts w:ascii="Arial" w:hAnsi="Arial" w:cs="Arial"/>
          <w:b/>
          <w:color w:val="000000"/>
          <w:sz w:val="22"/>
          <w:szCs w:val="22"/>
          <w:u w:val="single"/>
        </w:rPr>
        <w:t xml:space="preserve"> con lo establecido en el </w:t>
      </w:r>
      <w:r w:rsidR="007F2502" w:rsidRPr="002419C0">
        <w:rPr>
          <w:rFonts w:ascii="Arial" w:hAnsi="Arial" w:cs="Arial"/>
          <w:b/>
          <w:color w:val="000000"/>
          <w:sz w:val="22"/>
          <w:szCs w:val="22"/>
          <w:u w:val="single"/>
        </w:rPr>
        <w:t>art</w:t>
      </w:r>
      <w:r w:rsidR="00FD4FAA" w:rsidRPr="002419C0">
        <w:rPr>
          <w:rFonts w:ascii="Arial" w:hAnsi="Arial" w:cs="Arial"/>
          <w:b/>
          <w:color w:val="000000"/>
          <w:sz w:val="22"/>
          <w:szCs w:val="22"/>
          <w:u w:val="single"/>
        </w:rPr>
        <w:t>í</w:t>
      </w:r>
      <w:r w:rsidR="007F2502" w:rsidRPr="002419C0">
        <w:rPr>
          <w:rFonts w:ascii="Arial" w:hAnsi="Arial" w:cs="Arial"/>
          <w:b/>
          <w:color w:val="000000"/>
          <w:sz w:val="22"/>
          <w:szCs w:val="22"/>
          <w:u w:val="single"/>
        </w:rPr>
        <w:t xml:space="preserve">culo sexto de la </w:t>
      </w:r>
      <w:r w:rsidR="00797106" w:rsidRPr="002419C0">
        <w:rPr>
          <w:rFonts w:ascii="Arial" w:hAnsi="Arial" w:cs="Arial"/>
          <w:b/>
          <w:color w:val="000000"/>
          <w:sz w:val="22"/>
          <w:szCs w:val="22"/>
          <w:u w:val="single"/>
        </w:rPr>
        <w:t xml:space="preserve">presente </w:t>
      </w:r>
      <w:r w:rsidR="007F2502" w:rsidRPr="002419C0">
        <w:rPr>
          <w:rFonts w:ascii="Arial" w:hAnsi="Arial" w:cs="Arial"/>
          <w:b/>
          <w:color w:val="000000"/>
          <w:sz w:val="22"/>
          <w:szCs w:val="22"/>
          <w:u w:val="single"/>
        </w:rPr>
        <w:t>Resolución</w:t>
      </w:r>
      <w:r w:rsidR="0038675D" w:rsidRPr="002419C0">
        <w:rPr>
          <w:rFonts w:ascii="Arial" w:hAnsi="Arial" w:cs="Arial"/>
          <w:b/>
          <w:color w:val="000000"/>
          <w:sz w:val="22"/>
          <w:szCs w:val="22"/>
          <w:u w:val="single"/>
        </w:rPr>
        <w:t>.</w:t>
      </w:r>
    </w:p>
    <w:p w14:paraId="62170D87" w14:textId="77777777" w:rsidR="002B16B6" w:rsidRPr="002419C0" w:rsidRDefault="002B16B6">
      <w:pPr>
        <w:rPr>
          <w:rFonts w:ascii="Arial" w:hAnsi="Arial" w:cs="Arial"/>
          <w:b/>
          <w:color w:val="000000"/>
          <w:sz w:val="22"/>
          <w:szCs w:val="22"/>
          <w:u w:val="single"/>
        </w:rPr>
      </w:pPr>
    </w:p>
    <w:p w14:paraId="7C4AFDDB" w14:textId="3E0353C8" w:rsidR="0038675D" w:rsidRPr="002419C0" w:rsidRDefault="00294F92" w:rsidP="009026A6">
      <w:pPr>
        <w:pStyle w:val="Prrafodelista"/>
        <w:numPr>
          <w:ilvl w:val="0"/>
          <w:numId w:val="5"/>
        </w:numPr>
        <w:jc w:val="both"/>
        <w:rPr>
          <w:rFonts w:ascii="Arial" w:hAnsi="Arial" w:cs="Arial"/>
          <w:b/>
          <w:color w:val="000000"/>
          <w:sz w:val="22"/>
          <w:szCs w:val="22"/>
          <w:u w:val="single"/>
        </w:rPr>
      </w:pPr>
      <w:r w:rsidRPr="002419C0">
        <w:rPr>
          <w:rFonts w:ascii="Arial" w:hAnsi="Arial" w:cs="Arial"/>
          <w:b/>
          <w:color w:val="000000"/>
          <w:sz w:val="22"/>
          <w:szCs w:val="22"/>
          <w:u w:val="single"/>
        </w:rPr>
        <w:t>F</w:t>
      </w:r>
      <w:r w:rsidR="005C6A16">
        <w:rPr>
          <w:rFonts w:ascii="Arial" w:hAnsi="Arial" w:cs="Arial"/>
          <w:b/>
          <w:color w:val="000000"/>
          <w:sz w:val="22"/>
          <w:szCs w:val="22"/>
          <w:u w:val="single"/>
        </w:rPr>
        <w:t>A</w:t>
      </w:r>
      <w:r w:rsidRPr="002419C0">
        <w:rPr>
          <w:rFonts w:ascii="Arial" w:hAnsi="Arial" w:cs="Arial"/>
          <w:b/>
          <w:color w:val="000000"/>
          <w:sz w:val="22"/>
          <w:szCs w:val="22"/>
          <w:u w:val="single"/>
        </w:rPr>
        <w:t xml:space="preserve">D: Corresponde al </w:t>
      </w:r>
      <w:r w:rsidR="005C6A16">
        <w:rPr>
          <w:rFonts w:ascii="Arial" w:hAnsi="Arial" w:cs="Arial"/>
          <w:b/>
          <w:color w:val="000000"/>
          <w:sz w:val="22"/>
          <w:szCs w:val="22"/>
          <w:u w:val="single"/>
        </w:rPr>
        <w:t>F</w:t>
      </w:r>
      <w:r w:rsidR="005C6A16" w:rsidRPr="002419C0">
        <w:rPr>
          <w:rFonts w:ascii="Arial" w:hAnsi="Arial" w:cs="Arial"/>
          <w:b/>
          <w:color w:val="000000"/>
          <w:sz w:val="22"/>
          <w:szCs w:val="22"/>
          <w:u w:val="single"/>
        </w:rPr>
        <w:t xml:space="preserve">actor </w:t>
      </w:r>
      <w:r w:rsidRPr="002419C0">
        <w:rPr>
          <w:rFonts w:ascii="Arial" w:hAnsi="Arial" w:cs="Arial"/>
          <w:b/>
          <w:color w:val="000000"/>
          <w:sz w:val="22"/>
          <w:szCs w:val="22"/>
          <w:u w:val="single"/>
        </w:rPr>
        <w:t xml:space="preserve">de </w:t>
      </w:r>
      <w:r w:rsidR="005C6A16">
        <w:rPr>
          <w:rFonts w:ascii="Arial" w:hAnsi="Arial" w:cs="Arial"/>
          <w:b/>
          <w:color w:val="000000"/>
          <w:sz w:val="22"/>
          <w:szCs w:val="22"/>
          <w:u w:val="single"/>
        </w:rPr>
        <w:t>A</w:t>
      </w:r>
      <w:r w:rsidR="005C6A16" w:rsidRPr="002419C0">
        <w:rPr>
          <w:rFonts w:ascii="Arial" w:hAnsi="Arial" w:cs="Arial"/>
          <w:b/>
          <w:color w:val="000000"/>
          <w:sz w:val="22"/>
          <w:szCs w:val="22"/>
          <w:u w:val="single"/>
        </w:rPr>
        <w:t xml:space="preserve">juste </w:t>
      </w:r>
      <w:r w:rsidR="005C6A16">
        <w:rPr>
          <w:rFonts w:ascii="Arial" w:hAnsi="Arial" w:cs="Arial"/>
          <w:b/>
          <w:color w:val="000000"/>
          <w:sz w:val="22"/>
          <w:szCs w:val="22"/>
          <w:u w:val="single"/>
        </w:rPr>
        <w:t>D</w:t>
      </w:r>
      <w:r w:rsidR="005C6A16" w:rsidRPr="002419C0">
        <w:rPr>
          <w:rFonts w:ascii="Arial" w:hAnsi="Arial" w:cs="Arial"/>
          <w:b/>
          <w:color w:val="000000"/>
          <w:sz w:val="22"/>
          <w:szCs w:val="22"/>
          <w:u w:val="single"/>
        </w:rPr>
        <w:t>iferencial</w:t>
      </w:r>
      <w:r w:rsidR="00AB40EB" w:rsidRPr="002419C0">
        <w:rPr>
          <w:rFonts w:ascii="Arial" w:hAnsi="Arial" w:cs="Arial"/>
          <w:b/>
          <w:color w:val="000000"/>
          <w:sz w:val="22"/>
          <w:szCs w:val="22"/>
          <w:u w:val="single"/>
        </w:rPr>
        <w:t>,</w:t>
      </w:r>
      <w:r w:rsidRPr="002419C0">
        <w:rPr>
          <w:rFonts w:ascii="Arial" w:hAnsi="Arial" w:cs="Arial"/>
          <w:b/>
          <w:color w:val="000000"/>
          <w:sz w:val="22"/>
          <w:szCs w:val="22"/>
          <w:u w:val="single"/>
        </w:rPr>
        <w:t xml:space="preserve"> calculado </w:t>
      </w:r>
      <w:r w:rsidR="00AB40EB" w:rsidRPr="002419C0">
        <w:rPr>
          <w:rFonts w:ascii="Arial" w:hAnsi="Arial" w:cs="Arial"/>
          <w:b/>
          <w:color w:val="000000"/>
          <w:sz w:val="22"/>
          <w:szCs w:val="22"/>
          <w:u w:val="single"/>
        </w:rPr>
        <w:t>de conformidad</w:t>
      </w:r>
      <w:r w:rsidRPr="002419C0">
        <w:rPr>
          <w:rFonts w:ascii="Arial" w:hAnsi="Arial" w:cs="Arial"/>
          <w:b/>
          <w:color w:val="000000"/>
          <w:sz w:val="22"/>
          <w:szCs w:val="22"/>
          <w:u w:val="single"/>
        </w:rPr>
        <w:t xml:space="preserve"> con </w:t>
      </w:r>
      <w:r w:rsidR="00307B2E" w:rsidRPr="002419C0">
        <w:rPr>
          <w:rFonts w:ascii="Arial" w:hAnsi="Arial" w:cs="Arial"/>
          <w:b/>
          <w:color w:val="000000"/>
          <w:sz w:val="22"/>
          <w:szCs w:val="22"/>
          <w:u w:val="single"/>
        </w:rPr>
        <w:t xml:space="preserve">lo establecido en </w:t>
      </w:r>
      <w:r w:rsidR="007F2502" w:rsidRPr="002419C0">
        <w:rPr>
          <w:rFonts w:ascii="Arial" w:hAnsi="Arial" w:cs="Arial"/>
          <w:b/>
          <w:color w:val="000000"/>
          <w:sz w:val="22"/>
          <w:szCs w:val="22"/>
          <w:u w:val="single"/>
        </w:rPr>
        <w:t xml:space="preserve">el </w:t>
      </w:r>
      <w:r w:rsidR="00905095" w:rsidRPr="002419C0">
        <w:rPr>
          <w:rFonts w:ascii="Arial" w:hAnsi="Arial" w:cs="Arial"/>
          <w:b/>
          <w:color w:val="000000"/>
          <w:sz w:val="22"/>
          <w:szCs w:val="22"/>
          <w:u w:val="single"/>
        </w:rPr>
        <w:t>artículo</w:t>
      </w:r>
      <w:r w:rsidR="007F2502" w:rsidRPr="002419C0">
        <w:rPr>
          <w:rFonts w:ascii="Arial" w:hAnsi="Arial" w:cs="Arial"/>
          <w:b/>
          <w:color w:val="000000"/>
          <w:sz w:val="22"/>
          <w:szCs w:val="22"/>
          <w:u w:val="single"/>
        </w:rPr>
        <w:t xml:space="preserve"> séptimo de la presente Resolución</w:t>
      </w:r>
      <w:r w:rsidR="00905095" w:rsidRPr="002419C0">
        <w:rPr>
          <w:rFonts w:ascii="Arial" w:hAnsi="Arial" w:cs="Arial"/>
          <w:b/>
          <w:color w:val="000000"/>
          <w:sz w:val="22"/>
          <w:szCs w:val="22"/>
          <w:u w:val="single"/>
        </w:rPr>
        <w:t>.</w:t>
      </w:r>
    </w:p>
    <w:p w14:paraId="20498A50" w14:textId="77777777" w:rsidR="002B16B6" w:rsidRPr="002419C0" w:rsidRDefault="002B16B6">
      <w:pPr>
        <w:rPr>
          <w:rFonts w:ascii="Arial" w:hAnsi="Arial" w:cs="Arial"/>
          <w:b/>
          <w:color w:val="000000"/>
          <w:sz w:val="22"/>
          <w:szCs w:val="22"/>
          <w:u w:val="single"/>
        </w:rPr>
      </w:pPr>
    </w:p>
    <w:p w14:paraId="09A0B95D" w14:textId="296EF213" w:rsidR="00307B2E" w:rsidRPr="002419C0" w:rsidRDefault="00307B2E" w:rsidP="002B16B6">
      <w:pPr>
        <w:pStyle w:val="Prrafodelista"/>
        <w:numPr>
          <w:ilvl w:val="0"/>
          <w:numId w:val="5"/>
        </w:numPr>
        <w:rPr>
          <w:rFonts w:ascii="Arial" w:hAnsi="Arial" w:cs="Arial"/>
          <w:b/>
          <w:color w:val="000000"/>
          <w:sz w:val="22"/>
          <w:szCs w:val="22"/>
          <w:u w:val="single"/>
        </w:rPr>
      </w:pPr>
      <w:r w:rsidRPr="002419C0">
        <w:rPr>
          <w:rFonts w:ascii="Arial" w:hAnsi="Arial" w:cs="Arial"/>
          <w:b/>
          <w:color w:val="000000"/>
          <w:sz w:val="22"/>
          <w:szCs w:val="22"/>
          <w:u w:val="single"/>
        </w:rPr>
        <w:t>t: trimestre evaluado</w:t>
      </w:r>
    </w:p>
    <w:p w14:paraId="387122F3" w14:textId="77777777" w:rsidR="002B16B6" w:rsidRPr="002419C0" w:rsidRDefault="002B16B6">
      <w:pPr>
        <w:rPr>
          <w:rFonts w:ascii="Arial" w:hAnsi="Arial" w:cs="Arial"/>
          <w:b/>
          <w:color w:val="000000"/>
          <w:sz w:val="22"/>
          <w:szCs w:val="22"/>
          <w:u w:val="single"/>
        </w:rPr>
      </w:pPr>
    </w:p>
    <w:p w14:paraId="04362B9C" w14:textId="3754539F" w:rsidR="4DBE83CA" w:rsidRDefault="4DBE83CA" w:rsidP="009026A6">
      <w:pPr>
        <w:jc w:val="both"/>
        <w:rPr>
          <w:rFonts w:ascii="Arial" w:eastAsia="Arial" w:hAnsi="Arial" w:cs="Arial"/>
          <w:sz w:val="22"/>
          <w:szCs w:val="22"/>
        </w:rPr>
      </w:pPr>
      <w:r w:rsidRPr="008460D6">
        <w:rPr>
          <w:rFonts w:ascii="Arial" w:eastAsia="Arial" w:hAnsi="Arial" w:cs="Arial"/>
          <w:b/>
          <w:color w:val="000000" w:themeColor="text1"/>
          <w:sz w:val="22"/>
          <w:szCs w:val="22"/>
          <w:u w:val="single"/>
          <w:lang w:val="es"/>
        </w:rPr>
        <w:lastRenderedPageBreak/>
        <w:t xml:space="preserve">PARÁGRAFO. </w:t>
      </w:r>
      <w:r w:rsidR="000D6D1C" w:rsidRPr="008460D6">
        <w:rPr>
          <w:rFonts w:ascii="Arial" w:eastAsia="Arial" w:hAnsi="Arial" w:cs="Arial"/>
          <w:b/>
          <w:color w:val="000000" w:themeColor="text1"/>
          <w:sz w:val="22"/>
          <w:szCs w:val="22"/>
          <w:u w:val="single"/>
          <w:lang w:val="es"/>
        </w:rPr>
        <w:t>Cuando el resultado</w:t>
      </w:r>
      <w:r w:rsidRPr="008460D6">
        <w:rPr>
          <w:rFonts w:ascii="Arial" w:eastAsia="Arial" w:hAnsi="Arial" w:cs="Arial"/>
          <w:b/>
          <w:color w:val="000000" w:themeColor="text1"/>
          <w:sz w:val="22"/>
          <w:szCs w:val="22"/>
          <w:u w:val="single"/>
          <w:lang w:val="es"/>
        </w:rPr>
        <w:t xml:space="preserve"> del cálculo de la prima diferencial incluy</w:t>
      </w:r>
      <w:r w:rsidR="0095128F" w:rsidRPr="008460D6">
        <w:rPr>
          <w:rFonts w:ascii="Arial" w:eastAsia="Arial" w:hAnsi="Arial" w:cs="Arial"/>
          <w:b/>
          <w:color w:val="000000" w:themeColor="text1"/>
          <w:sz w:val="22"/>
          <w:szCs w:val="22"/>
          <w:u w:val="single"/>
          <w:lang w:val="es"/>
        </w:rPr>
        <w:t xml:space="preserve">a </w:t>
      </w:r>
      <w:r w:rsidRPr="008460D6">
        <w:rPr>
          <w:rFonts w:ascii="Arial" w:eastAsia="Arial" w:hAnsi="Arial" w:cs="Arial"/>
          <w:b/>
          <w:color w:val="000000" w:themeColor="text1"/>
          <w:sz w:val="22"/>
          <w:szCs w:val="22"/>
          <w:u w:val="single"/>
          <w:lang w:val="es"/>
        </w:rPr>
        <w:t xml:space="preserve">decimales, el valor </w:t>
      </w:r>
      <w:r w:rsidR="00465635" w:rsidRPr="008460D6">
        <w:rPr>
          <w:rFonts w:ascii="Arial" w:eastAsia="Arial" w:hAnsi="Arial" w:cs="Arial"/>
          <w:b/>
          <w:color w:val="000000" w:themeColor="text1"/>
          <w:sz w:val="22"/>
          <w:szCs w:val="22"/>
          <w:u w:val="single"/>
          <w:lang w:val="es"/>
        </w:rPr>
        <w:t xml:space="preserve">a </w:t>
      </w:r>
      <w:r w:rsidRPr="008460D6">
        <w:rPr>
          <w:rFonts w:ascii="Arial" w:eastAsia="Arial" w:hAnsi="Arial" w:cs="Arial"/>
          <w:b/>
          <w:color w:val="000000" w:themeColor="text1"/>
          <w:sz w:val="22"/>
          <w:szCs w:val="22"/>
          <w:u w:val="single"/>
          <w:lang w:val="es"/>
        </w:rPr>
        <w:t xml:space="preserve">pagar </w:t>
      </w:r>
      <w:r w:rsidR="006D2F56" w:rsidRPr="008460D6">
        <w:rPr>
          <w:rFonts w:ascii="Arial" w:eastAsia="Arial" w:hAnsi="Arial" w:cs="Arial"/>
          <w:b/>
          <w:color w:val="000000" w:themeColor="text1"/>
          <w:sz w:val="22"/>
          <w:szCs w:val="22"/>
          <w:u w:val="single"/>
          <w:lang w:val="es"/>
        </w:rPr>
        <w:t>se aproximará</w:t>
      </w:r>
      <w:r w:rsidRPr="008460D6">
        <w:rPr>
          <w:rFonts w:ascii="Arial" w:eastAsia="Arial" w:hAnsi="Arial" w:cs="Arial"/>
          <w:b/>
          <w:color w:val="000000" w:themeColor="text1"/>
          <w:sz w:val="22"/>
          <w:szCs w:val="22"/>
          <w:u w:val="single"/>
          <w:lang w:val="es"/>
        </w:rPr>
        <w:t xml:space="preserve"> a</w:t>
      </w:r>
      <w:r w:rsidR="006D2F56" w:rsidRPr="008460D6">
        <w:rPr>
          <w:rFonts w:ascii="Arial" w:eastAsia="Arial" w:hAnsi="Arial" w:cs="Arial"/>
          <w:b/>
          <w:color w:val="000000" w:themeColor="text1"/>
          <w:sz w:val="22"/>
          <w:szCs w:val="22"/>
          <w:u w:val="single"/>
          <w:lang w:val="es"/>
        </w:rPr>
        <w:t>l</w:t>
      </w:r>
      <w:r w:rsidRPr="008460D6">
        <w:rPr>
          <w:rFonts w:ascii="Arial" w:eastAsia="Arial" w:hAnsi="Arial" w:cs="Arial"/>
          <w:b/>
          <w:color w:val="000000" w:themeColor="text1"/>
          <w:sz w:val="22"/>
          <w:szCs w:val="22"/>
          <w:u w:val="single"/>
          <w:lang w:val="es"/>
        </w:rPr>
        <w:t xml:space="preserve"> </w:t>
      </w:r>
      <w:r w:rsidR="00C04ADB" w:rsidRPr="008460D6">
        <w:rPr>
          <w:rFonts w:ascii="Arial" w:eastAsia="Arial" w:hAnsi="Arial" w:cs="Arial"/>
          <w:b/>
          <w:color w:val="000000" w:themeColor="text1"/>
          <w:sz w:val="22"/>
          <w:szCs w:val="22"/>
          <w:u w:val="single"/>
          <w:lang w:val="es"/>
        </w:rPr>
        <w:t xml:space="preserve">número entero más cercado. Para tal efecto, </w:t>
      </w:r>
      <w:r w:rsidRPr="008460D6">
        <w:rPr>
          <w:rFonts w:ascii="Arial" w:eastAsia="Arial" w:hAnsi="Arial" w:cs="Arial"/>
          <w:b/>
          <w:color w:val="000000" w:themeColor="text1"/>
          <w:sz w:val="22"/>
          <w:szCs w:val="22"/>
          <w:u w:val="single"/>
          <w:lang w:val="es"/>
        </w:rPr>
        <w:t>si el primer decimal es igual o superior a cinco (5) se deberá aproximar al número entero superior siguiente, y si el primer decimal es inferior a cinco (5), se deberá aproximar al número entero inmediatamente anterior.</w:t>
      </w:r>
    </w:p>
    <w:p w14:paraId="09787C86" w14:textId="4486F36A" w:rsidR="550BE96D" w:rsidRDefault="550BE96D" w:rsidP="550BE96D">
      <w:pPr>
        <w:rPr>
          <w:rFonts w:ascii="Arial" w:hAnsi="Arial" w:cs="Arial"/>
          <w:color w:val="000000" w:themeColor="text1"/>
          <w:sz w:val="22"/>
          <w:szCs w:val="22"/>
        </w:rPr>
      </w:pPr>
    </w:p>
    <w:p w14:paraId="0C0B1B13" w14:textId="6F4D9AF1" w:rsidR="00307B2E" w:rsidRPr="00382848" w:rsidRDefault="007F2502" w:rsidP="00307B2E">
      <w:pPr>
        <w:autoSpaceDE w:val="0"/>
        <w:autoSpaceDN w:val="0"/>
        <w:adjustRightInd w:val="0"/>
        <w:jc w:val="both"/>
        <w:rPr>
          <w:rFonts w:ascii="Arial" w:hAnsi="Arial" w:cs="Arial"/>
          <w:b/>
          <w:bCs/>
          <w:color w:val="000000"/>
          <w:sz w:val="22"/>
          <w:szCs w:val="22"/>
          <w:u w:val="single"/>
        </w:rPr>
      </w:pPr>
      <w:r w:rsidRPr="00382848">
        <w:rPr>
          <w:rFonts w:ascii="Arial" w:hAnsi="Arial" w:cs="Arial"/>
          <w:b/>
          <w:bCs/>
          <w:color w:val="000000"/>
          <w:sz w:val="22"/>
          <w:szCs w:val="22"/>
          <w:u w:val="single"/>
        </w:rPr>
        <w:t>ARTICULO SEXTO</w:t>
      </w:r>
      <w:r w:rsidR="00307B2E" w:rsidRPr="00382848">
        <w:rPr>
          <w:rFonts w:ascii="Arial" w:hAnsi="Arial" w:cs="Arial"/>
          <w:b/>
          <w:bCs/>
          <w:color w:val="000000"/>
          <w:sz w:val="22"/>
          <w:szCs w:val="22"/>
          <w:u w:val="single"/>
        </w:rPr>
        <w:t xml:space="preserve">. </w:t>
      </w:r>
      <w:r w:rsidR="00EA4661" w:rsidRPr="00382848">
        <w:rPr>
          <w:rFonts w:ascii="Arial" w:hAnsi="Arial" w:cs="Arial"/>
          <w:b/>
          <w:bCs/>
          <w:color w:val="000000"/>
          <w:sz w:val="22"/>
          <w:szCs w:val="22"/>
          <w:u w:val="single"/>
        </w:rPr>
        <w:t>MONTO DE LOS DEPÓSITOS</w:t>
      </w:r>
      <w:r w:rsidR="00307B2E" w:rsidRPr="00382848">
        <w:rPr>
          <w:rFonts w:ascii="Arial" w:hAnsi="Arial" w:cs="Arial"/>
          <w:b/>
          <w:bCs/>
          <w:color w:val="000000"/>
          <w:sz w:val="22"/>
          <w:szCs w:val="22"/>
          <w:u w:val="single"/>
        </w:rPr>
        <w:t xml:space="preserve"> (MD): El </w:t>
      </w:r>
      <w:r w:rsidR="00D61E4D" w:rsidRPr="00382848">
        <w:rPr>
          <w:rFonts w:ascii="Arial" w:hAnsi="Arial" w:cs="Arial"/>
          <w:b/>
          <w:bCs/>
          <w:color w:val="000000"/>
          <w:sz w:val="22"/>
          <w:szCs w:val="22"/>
          <w:u w:val="single"/>
        </w:rPr>
        <w:t xml:space="preserve">monto </w:t>
      </w:r>
      <w:r w:rsidR="00905095" w:rsidRPr="00382848">
        <w:rPr>
          <w:rFonts w:ascii="Arial" w:hAnsi="Arial" w:cs="Arial"/>
          <w:b/>
          <w:bCs/>
          <w:color w:val="000000"/>
          <w:sz w:val="22"/>
          <w:szCs w:val="22"/>
          <w:u w:val="single"/>
        </w:rPr>
        <w:t>trimestral</w:t>
      </w:r>
      <w:r w:rsidR="00307B2E" w:rsidRPr="00382848">
        <w:rPr>
          <w:rFonts w:ascii="Arial" w:hAnsi="Arial" w:cs="Arial"/>
          <w:b/>
          <w:bCs/>
          <w:color w:val="000000"/>
          <w:sz w:val="22"/>
          <w:szCs w:val="22"/>
          <w:u w:val="single"/>
        </w:rPr>
        <w:t xml:space="preserve"> de los depósitos para el </w:t>
      </w:r>
      <w:r w:rsidR="00D61E4D" w:rsidRPr="00382848">
        <w:rPr>
          <w:rFonts w:ascii="Arial" w:hAnsi="Arial" w:cs="Arial"/>
          <w:b/>
          <w:bCs/>
          <w:color w:val="000000"/>
          <w:sz w:val="22"/>
          <w:szCs w:val="22"/>
          <w:u w:val="single"/>
        </w:rPr>
        <w:t xml:space="preserve">cálculo </w:t>
      </w:r>
      <w:r w:rsidR="00307B2E" w:rsidRPr="00382848">
        <w:rPr>
          <w:rFonts w:ascii="Arial" w:hAnsi="Arial" w:cs="Arial"/>
          <w:b/>
          <w:bCs/>
          <w:color w:val="000000"/>
          <w:sz w:val="22"/>
          <w:szCs w:val="22"/>
          <w:u w:val="single"/>
        </w:rPr>
        <w:t xml:space="preserve">de prima diferencial </w:t>
      </w:r>
      <w:r w:rsidR="00F10F10" w:rsidRPr="00382848">
        <w:rPr>
          <w:rFonts w:ascii="Arial" w:hAnsi="Arial" w:cs="Arial"/>
          <w:b/>
          <w:bCs/>
          <w:color w:val="000000"/>
          <w:sz w:val="22"/>
          <w:szCs w:val="22"/>
          <w:u w:val="single"/>
        </w:rPr>
        <w:t>corresponde</w:t>
      </w:r>
      <w:r w:rsidR="00E9319C" w:rsidRPr="00382848">
        <w:rPr>
          <w:rFonts w:ascii="Arial" w:hAnsi="Arial" w:cs="Arial"/>
          <w:b/>
          <w:bCs/>
          <w:color w:val="000000"/>
          <w:sz w:val="22"/>
          <w:szCs w:val="22"/>
          <w:u w:val="single"/>
        </w:rPr>
        <w:t xml:space="preserve">rá </w:t>
      </w:r>
      <w:r w:rsidR="00F10F10" w:rsidRPr="00382848">
        <w:rPr>
          <w:rFonts w:ascii="Arial" w:hAnsi="Arial" w:cs="Arial"/>
          <w:b/>
          <w:bCs/>
          <w:color w:val="000000"/>
          <w:sz w:val="22"/>
          <w:szCs w:val="22"/>
          <w:u w:val="single"/>
        </w:rPr>
        <w:t>al pr</w:t>
      </w:r>
      <w:r w:rsidR="00D63286" w:rsidRPr="00382848">
        <w:rPr>
          <w:rFonts w:ascii="Arial" w:hAnsi="Arial" w:cs="Arial"/>
          <w:b/>
          <w:bCs/>
          <w:color w:val="000000"/>
          <w:sz w:val="22"/>
          <w:szCs w:val="22"/>
          <w:u w:val="single"/>
        </w:rPr>
        <w:t xml:space="preserve">omedio simple de los saldos </w:t>
      </w:r>
      <w:r w:rsidR="00307B2E" w:rsidRPr="00382848">
        <w:rPr>
          <w:rFonts w:ascii="Arial" w:hAnsi="Arial" w:cs="Arial"/>
          <w:b/>
          <w:bCs/>
          <w:color w:val="000000"/>
          <w:sz w:val="22"/>
          <w:szCs w:val="22"/>
          <w:u w:val="single"/>
        </w:rPr>
        <w:t>registrado</w:t>
      </w:r>
      <w:r w:rsidR="00D63286" w:rsidRPr="00382848">
        <w:rPr>
          <w:rFonts w:ascii="Arial" w:hAnsi="Arial" w:cs="Arial"/>
          <w:b/>
          <w:bCs/>
          <w:color w:val="000000"/>
          <w:sz w:val="22"/>
          <w:szCs w:val="22"/>
          <w:u w:val="single"/>
        </w:rPr>
        <w:t>s</w:t>
      </w:r>
      <w:r w:rsidR="00307B2E" w:rsidRPr="00382848">
        <w:rPr>
          <w:rFonts w:ascii="Arial" w:hAnsi="Arial" w:cs="Arial"/>
          <w:b/>
          <w:bCs/>
          <w:color w:val="000000"/>
          <w:sz w:val="22"/>
          <w:szCs w:val="22"/>
          <w:u w:val="single"/>
        </w:rPr>
        <w:t xml:space="preserve"> en </w:t>
      </w:r>
      <w:r w:rsidR="00307B2E" w:rsidRPr="00382848">
        <w:rPr>
          <w:rFonts w:ascii="Arial" w:hAnsi="Arial" w:cs="Arial"/>
          <w:b/>
          <w:bCs/>
          <w:color w:val="000000" w:themeColor="text1"/>
          <w:sz w:val="22"/>
          <w:szCs w:val="22"/>
          <w:u w:val="single"/>
        </w:rPr>
        <w:t xml:space="preserve">los balances </w:t>
      </w:r>
      <w:r w:rsidR="00470ADC" w:rsidRPr="00382848">
        <w:rPr>
          <w:rFonts w:ascii="Arial" w:hAnsi="Arial" w:cs="Arial"/>
          <w:b/>
          <w:bCs/>
          <w:color w:val="000000" w:themeColor="text1"/>
          <w:sz w:val="22"/>
          <w:szCs w:val="22"/>
          <w:u w:val="single"/>
        </w:rPr>
        <w:t xml:space="preserve">mensuales </w:t>
      </w:r>
      <w:r w:rsidR="00307B2E" w:rsidRPr="00382848">
        <w:rPr>
          <w:rFonts w:ascii="Arial" w:hAnsi="Arial" w:cs="Arial"/>
          <w:b/>
          <w:bCs/>
          <w:color w:val="000000" w:themeColor="text1"/>
          <w:sz w:val="22"/>
          <w:szCs w:val="22"/>
          <w:u w:val="single"/>
        </w:rPr>
        <w:t xml:space="preserve">transmitidos a la Superintendencia Financiera de Colombia, </w:t>
      </w:r>
      <w:r w:rsidR="00585E91" w:rsidRPr="00382848">
        <w:rPr>
          <w:rFonts w:ascii="Arial" w:hAnsi="Arial" w:cs="Arial"/>
          <w:b/>
          <w:bCs/>
          <w:color w:val="000000" w:themeColor="text1"/>
          <w:sz w:val="22"/>
          <w:szCs w:val="22"/>
          <w:u w:val="single"/>
        </w:rPr>
        <w:t>correspondientes al</w:t>
      </w:r>
      <w:r w:rsidR="00307B2E" w:rsidRPr="00382848">
        <w:rPr>
          <w:rFonts w:ascii="Arial" w:hAnsi="Arial" w:cs="Arial"/>
          <w:b/>
          <w:bCs/>
          <w:color w:val="000000" w:themeColor="text1"/>
          <w:sz w:val="22"/>
          <w:szCs w:val="22"/>
          <w:u w:val="single"/>
        </w:rPr>
        <w:t xml:space="preserve"> trimestre </w:t>
      </w:r>
      <w:r w:rsidR="00DB4A66" w:rsidRPr="00382848">
        <w:rPr>
          <w:rFonts w:ascii="Arial" w:hAnsi="Arial" w:cs="Arial"/>
          <w:b/>
          <w:bCs/>
          <w:color w:val="000000" w:themeColor="text1"/>
          <w:sz w:val="22"/>
          <w:szCs w:val="22"/>
          <w:u w:val="single"/>
        </w:rPr>
        <w:t xml:space="preserve">calendario </w:t>
      </w:r>
      <w:r w:rsidR="00307B2E" w:rsidRPr="00382848">
        <w:rPr>
          <w:rFonts w:ascii="Arial" w:hAnsi="Arial" w:cs="Arial"/>
          <w:b/>
          <w:bCs/>
          <w:color w:val="000000" w:themeColor="text1"/>
          <w:sz w:val="22"/>
          <w:szCs w:val="22"/>
          <w:u w:val="single"/>
        </w:rPr>
        <w:t>objeto de pago de la prima</w:t>
      </w:r>
      <w:r w:rsidR="00585E91" w:rsidRPr="00382848">
        <w:rPr>
          <w:rFonts w:ascii="Arial" w:hAnsi="Arial" w:cs="Arial"/>
          <w:b/>
          <w:bCs/>
          <w:color w:val="000000" w:themeColor="text1"/>
          <w:sz w:val="22"/>
          <w:szCs w:val="22"/>
          <w:u w:val="single"/>
        </w:rPr>
        <w:t xml:space="preserve"> y que se encuentre</w:t>
      </w:r>
      <w:r w:rsidR="00F76BD9" w:rsidRPr="00382848">
        <w:rPr>
          <w:rFonts w:ascii="Arial" w:hAnsi="Arial" w:cs="Arial"/>
          <w:b/>
          <w:bCs/>
          <w:color w:val="000000" w:themeColor="text1"/>
          <w:sz w:val="22"/>
          <w:szCs w:val="22"/>
          <w:u w:val="single"/>
        </w:rPr>
        <w:t xml:space="preserve">n </w:t>
      </w:r>
      <w:r w:rsidR="00307B2E" w:rsidRPr="00382848">
        <w:rPr>
          <w:rFonts w:ascii="Arial" w:hAnsi="Arial" w:cs="Arial"/>
          <w:b/>
          <w:bCs/>
          <w:color w:val="000000" w:themeColor="text1"/>
          <w:sz w:val="22"/>
          <w:szCs w:val="22"/>
          <w:u w:val="single"/>
        </w:rPr>
        <w:t>disponibles al momento de</w:t>
      </w:r>
      <w:r w:rsidR="00F76BD9" w:rsidRPr="00382848">
        <w:rPr>
          <w:rFonts w:ascii="Arial" w:hAnsi="Arial" w:cs="Arial"/>
          <w:b/>
          <w:bCs/>
          <w:color w:val="000000" w:themeColor="text1"/>
          <w:sz w:val="22"/>
          <w:szCs w:val="22"/>
          <w:u w:val="single"/>
        </w:rPr>
        <w:t xml:space="preserve"> efectuar el </w:t>
      </w:r>
      <w:r w:rsidR="00307B2E" w:rsidRPr="00382848">
        <w:rPr>
          <w:rFonts w:ascii="Arial" w:hAnsi="Arial" w:cs="Arial"/>
          <w:b/>
          <w:bCs/>
          <w:color w:val="000000" w:themeColor="text1"/>
          <w:sz w:val="22"/>
          <w:szCs w:val="22"/>
          <w:u w:val="single"/>
        </w:rPr>
        <w:t>pago.</w:t>
      </w:r>
    </w:p>
    <w:p w14:paraId="211A65CC" w14:textId="77777777" w:rsidR="00307B2E" w:rsidRPr="00382848" w:rsidRDefault="00307B2E" w:rsidP="00307B2E">
      <w:pPr>
        <w:autoSpaceDE w:val="0"/>
        <w:autoSpaceDN w:val="0"/>
        <w:adjustRightInd w:val="0"/>
        <w:jc w:val="both"/>
        <w:rPr>
          <w:rFonts w:ascii="Arial" w:hAnsi="Arial" w:cs="Arial"/>
          <w:b/>
          <w:bCs/>
          <w:color w:val="000000"/>
          <w:sz w:val="22"/>
          <w:szCs w:val="22"/>
          <w:u w:val="single"/>
        </w:rPr>
      </w:pPr>
    </w:p>
    <w:p w14:paraId="0CBFF7F0" w14:textId="1F40200B" w:rsidR="00307B2E" w:rsidRPr="00382848" w:rsidRDefault="00F76BD9" w:rsidP="00307B2E">
      <w:pPr>
        <w:autoSpaceDE w:val="0"/>
        <w:autoSpaceDN w:val="0"/>
        <w:adjustRightInd w:val="0"/>
        <w:jc w:val="both"/>
        <w:rPr>
          <w:rFonts w:ascii="Arial" w:hAnsi="Arial" w:cs="Arial"/>
          <w:b/>
          <w:bCs/>
          <w:color w:val="000000"/>
          <w:sz w:val="22"/>
          <w:szCs w:val="22"/>
          <w:u w:val="single"/>
        </w:rPr>
      </w:pPr>
      <w:r w:rsidRPr="00382848">
        <w:rPr>
          <w:rFonts w:ascii="Arial" w:hAnsi="Arial" w:cs="Arial"/>
          <w:b/>
          <w:bCs/>
          <w:color w:val="000000"/>
          <w:sz w:val="22"/>
          <w:szCs w:val="22"/>
          <w:u w:val="single"/>
        </w:rPr>
        <w:t>Cuando la</w:t>
      </w:r>
      <w:r w:rsidR="00307B2E" w:rsidRPr="00382848">
        <w:rPr>
          <w:rFonts w:ascii="Arial" w:hAnsi="Arial" w:cs="Arial"/>
          <w:b/>
          <w:bCs/>
          <w:color w:val="000000"/>
          <w:sz w:val="22"/>
          <w:szCs w:val="22"/>
          <w:u w:val="single"/>
        </w:rPr>
        <w:t xml:space="preserve"> </w:t>
      </w:r>
      <w:r w:rsidR="00523BA9" w:rsidRPr="00382848">
        <w:rPr>
          <w:rFonts w:ascii="Arial" w:hAnsi="Arial" w:cs="Arial"/>
          <w:b/>
          <w:bCs/>
          <w:color w:val="000000"/>
          <w:sz w:val="22"/>
          <w:szCs w:val="22"/>
          <w:u w:val="single"/>
        </w:rPr>
        <w:t xml:space="preserve">SEDPE </w:t>
      </w:r>
      <w:r w:rsidR="00307B2E" w:rsidRPr="00382848">
        <w:rPr>
          <w:rFonts w:ascii="Arial" w:hAnsi="Arial" w:cs="Arial"/>
          <w:b/>
          <w:bCs/>
          <w:color w:val="000000"/>
          <w:sz w:val="22"/>
          <w:szCs w:val="22"/>
          <w:u w:val="single"/>
        </w:rPr>
        <w:t xml:space="preserve">no </w:t>
      </w:r>
      <w:r w:rsidR="00E17A19" w:rsidRPr="00382848">
        <w:rPr>
          <w:rFonts w:ascii="Arial" w:hAnsi="Arial" w:cs="Arial"/>
          <w:b/>
          <w:bCs/>
          <w:color w:val="000000"/>
          <w:sz w:val="22"/>
          <w:szCs w:val="22"/>
          <w:u w:val="single"/>
        </w:rPr>
        <w:t>cuente con</w:t>
      </w:r>
      <w:r w:rsidR="00307B2E" w:rsidRPr="00382848">
        <w:rPr>
          <w:rFonts w:ascii="Arial" w:hAnsi="Arial" w:cs="Arial"/>
          <w:b/>
          <w:bCs/>
          <w:color w:val="000000"/>
          <w:sz w:val="22"/>
          <w:szCs w:val="22"/>
          <w:u w:val="single"/>
        </w:rPr>
        <w:t xml:space="preserve"> balances transmitidos a la Superintendencia Financiera de Colombia</w:t>
      </w:r>
      <w:r w:rsidR="00E17A19" w:rsidRPr="00382848">
        <w:rPr>
          <w:rFonts w:ascii="Arial" w:hAnsi="Arial" w:cs="Arial"/>
          <w:b/>
          <w:bCs/>
          <w:color w:val="000000"/>
          <w:sz w:val="22"/>
          <w:szCs w:val="22"/>
          <w:u w:val="single"/>
        </w:rPr>
        <w:t xml:space="preserve"> </w:t>
      </w:r>
      <w:r w:rsidR="00307B2E" w:rsidRPr="00382848">
        <w:rPr>
          <w:rFonts w:ascii="Arial" w:hAnsi="Arial" w:cs="Arial"/>
          <w:b/>
          <w:bCs/>
          <w:color w:val="000000"/>
          <w:sz w:val="22"/>
          <w:szCs w:val="22"/>
          <w:u w:val="single"/>
        </w:rPr>
        <w:t>al momento del pago, deberá calcular y pagar el valor de la prima</w:t>
      </w:r>
      <w:r w:rsidR="00CA6C8E" w:rsidRPr="00382848">
        <w:rPr>
          <w:rFonts w:ascii="Arial" w:hAnsi="Arial" w:cs="Arial"/>
          <w:b/>
          <w:bCs/>
          <w:color w:val="000000"/>
          <w:sz w:val="22"/>
          <w:szCs w:val="22"/>
          <w:u w:val="single"/>
        </w:rPr>
        <w:t xml:space="preserve"> </w:t>
      </w:r>
      <w:r w:rsidR="00307B2E" w:rsidRPr="00382848">
        <w:rPr>
          <w:rFonts w:ascii="Arial" w:hAnsi="Arial" w:cs="Arial"/>
          <w:b/>
          <w:bCs/>
          <w:color w:val="000000"/>
          <w:sz w:val="22"/>
          <w:szCs w:val="22"/>
          <w:u w:val="single"/>
        </w:rPr>
        <w:t xml:space="preserve">con base </w:t>
      </w:r>
      <w:r w:rsidR="00CA6C8E" w:rsidRPr="00382848">
        <w:rPr>
          <w:rFonts w:ascii="Arial" w:hAnsi="Arial" w:cs="Arial"/>
          <w:b/>
          <w:bCs/>
          <w:color w:val="000000"/>
          <w:sz w:val="22"/>
          <w:szCs w:val="22"/>
          <w:u w:val="single"/>
        </w:rPr>
        <w:t>en los saldos</w:t>
      </w:r>
      <w:r w:rsidR="00307B2E" w:rsidRPr="00382848">
        <w:rPr>
          <w:rFonts w:ascii="Arial" w:hAnsi="Arial" w:cs="Arial"/>
          <w:b/>
          <w:bCs/>
          <w:color w:val="000000"/>
          <w:sz w:val="22"/>
          <w:szCs w:val="22"/>
          <w:u w:val="single"/>
        </w:rPr>
        <w:t xml:space="preserve"> de los depósitos registrado</w:t>
      </w:r>
      <w:r w:rsidR="00CA6C8E" w:rsidRPr="00382848">
        <w:rPr>
          <w:rFonts w:ascii="Arial" w:hAnsi="Arial" w:cs="Arial"/>
          <w:b/>
          <w:bCs/>
          <w:color w:val="000000"/>
          <w:sz w:val="22"/>
          <w:szCs w:val="22"/>
          <w:u w:val="single"/>
        </w:rPr>
        <w:t>s</w:t>
      </w:r>
      <w:r w:rsidR="00307B2E" w:rsidRPr="00382848">
        <w:rPr>
          <w:rFonts w:ascii="Arial" w:hAnsi="Arial" w:cs="Arial"/>
          <w:b/>
          <w:bCs/>
          <w:color w:val="000000"/>
          <w:sz w:val="22"/>
          <w:szCs w:val="22"/>
          <w:u w:val="single"/>
        </w:rPr>
        <w:t xml:space="preserve"> en los balances disponibles a </w:t>
      </w:r>
      <w:r w:rsidR="00DC2A2A" w:rsidRPr="00382848">
        <w:rPr>
          <w:rFonts w:ascii="Arial" w:hAnsi="Arial" w:cs="Arial"/>
          <w:b/>
          <w:bCs/>
          <w:color w:val="000000"/>
          <w:sz w:val="22"/>
          <w:szCs w:val="22"/>
          <w:u w:val="single"/>
        </w:rPr>
        <w:t xml:space="preserve">esa </w:t>
      </w:r>
      <w:r w:rsidR="00307B2E" w:rsidRPr="00382848">
        <w:rPr>
          <w:rFonts w:ascii="Arial" w:hAnsi="Arial" w:cs="Arial"/>
          <w:b/>
          <w:bCs/>
          <w:color w:val="000000"/>
          <w:sz w:val="22"/>
          <w:szCs w:val="22"/>
          <w:u w:val="single"/>
        </w:rPr>
        <w:t>fecha.</w:t>
      </w:r>
    </w:p>
    <w:p w14:paraId="3B9767D6" w14:textId="77777777" w:rsidR="00307B2E" w:rsidRPr="005367E4" w:rsidRDefault="00307B2E" w:rsidP="00307B2E">
      <w:pPr>
        <w:autoSpaceDE w:val="0"/>
        <w:autoSpaceDN w:val="0"/>
        <w:adjustRightInd w:val="0"/>
        <w:jc w:val="both"/>
        <w:rPr>
          <w:rFonts w:ascii="Arial" w:hAnsi="Arial" w:cs="Arial"/>
          <w:color w:val="000000"/>
          <w:sz w:val="22"/>
          <w:szCs w:val="22"/>
        </w:rPr>
      </w:pPr>
    </w:p>
    <w:p w14:paraId="5274ADFA" w14:textId="34F7498E" w:rsidR="007F2502" w:rsidRPr="00382848" w:rsidRDefault="007F2502" w:rsidP="007F2502">
      <w:pPr>
        <w:jc w:val="both"/>
        <w:rPr>
          <w:rFonts w:ascii="Arial" w:hAnsi="Arial" w:cs="Arial"/>
          <w:b/>
          <w:bCs/>
          <w:color w:val="000000"/>
          <w:sz w:val="22"/>
          <w:szCs w:val="22"/>
          <w:u w:val="single"/>
          <w:lang w:val="es-CO"/>
        </w:rPr>
      </w:pPr>
      <w:r w:rsidRPr="00382848">
        <w:rPr>
          <w:rFonts w:ascii="Arial" w:hAnsi="Arial" w:cs="Arial"/>
          <w:b/>
          <w:bCs/>
          <w:color w:val="000000"/>
          <w:sz w:val="22"/>
          <w:szCs w:val="22"/>
          <w:u w:val="single"/>
        </w:rPr>
        <w:t xml:space="preserve">ARTICULO </w:t>
      </w:r>
      <w:r w:rsidR="003E1D24" w:rsidRPr="00382848">
        <w:rPr>
          <w:rFonts w:ascii="Arial" w:hAnsi="Arial" w:cs="Arial"/>
          <w:b/>
          <w:bCs/>
          <w:color w:val="000000"/>
          <w:sz w:val="22"/>
          <w:szCs w:val="22"/>
          <w:u w:val="single"/>
        </w:rPr>
        <w:t>S</w:t>
      </w:r>
      <w:r w:rsidR="003E1D24">
        <w:rPr>
          <w:rFonts w:ascii="Arial" w:hAnsi="Arial" w:cs="Arial"/>
          <w:b/>
          <w:bCs/>
          <w:color w:val="000000"/>
          <w:sz w:val="22"/>
          <w:szCs w:val="22"/>
          <w:u w:val="single"/>
        </w:rPr>
        <w:t>É</w:t>
      </w:r>
      <w:r w:rsidR="003E1D24" w:rsidRPr="00382848">
        <w:rPr>
          <w:rFonts w:ascii="Arial" w:hAnsi="Arial" w:cs="Arial"/>
          <w:b/>
          <w:bCs/>
          <w:color w:val="000000"/>
          <w:sz w:val="22"/>
          <w:szCs w:val="22"/>
          <w:u w:val="single"/>
        </w:rPr>
        <w:t>PTIMO</w:t>
      </w:r>
      <w:r w:rsidR="00307B2E" w:rsidRPr="00382848">
        <w:rPr>
          <w:rFonts w:ascii="Arial" w:hAnsi="Arial" w:cs="Arial"/>
          <w:b/>
          <w:bCs/>
          <w:color w:val="000000"/>
          <w:sz w:val="22"/>
          <w:szCs w:val="22"/>
          <w:u w:val="single"/>
        </w:rPr>
        <w:t xml:space="preserve">. </w:t>
      </w:r>
      <w:r w:rsidR="008A03EF" w:rsidRPr="00382848">
        <w:rPr>
          <w:rFonts w:ascii="Arial" w:hAnsi="Arial" w:cs="Arial"/>
          <w:b/>
          <w:bCs/>
          <w:color w:val="000000"/>
          <w:sz w:val="22"/>
          <w:szCs w:val="22"/>
          <w:u w:val="single"/>
          <w:lang w:val="es-CO"/>
        </w:rPr>
        <w:t>FACTOR DE AJUSTE DIFERENCIAL</w:t>
      </w:r>
      <w:r w:rsidR="00307B2E" w:rsidRPr="00382848">
        <w:rPr>
          <w:rFonts w:ascii="Arial" w:hAnsi="Arial" w:cs="Arial"/>
          <w:b/>
          <w:bCs/>
          <w:color w:val="000000"/>
          <w:sz w:val="22"/>
          <w:szCs w:val="22"/>
          <w:u w:val="single"/>
          <w:lang w:val="es-CO"/>
        </w:rPr>
        <w:t xml:space="preserve"> (F</w:t>
      </w:r>
      <w:r w:rsidR="005C6A16">
        <w:rPr>
          <w:rFonts w:ascii="Arial" w:hAnsi="Arial" w:cs="Arial"/>
          <w:b/>
          <w:bCs/>
          <w:color w:val="000000"/>
          <w:sz w:val="22"/>
          <w:szCs w:val="22"/>
          <w:u w:val="single"/>
          <w:lang w:val="es-CO"/>
        </w:rPr>
        <w:t>A</w:t>
      </w:r>
      <w:r w:rsidR="00307B2E" w:rsidRPr="00382848">
        <w:rPr>
          <w:rFonts w:ascii="Arial" w:hAnsi="Arial" w:cs="Arial"/>
          <w:b/>
          <w:bCs/>
          <w:color w:val="000000"/>
          <w:sz w:val="22"/>
          <w:szCs w:val="22"/>
          <w:u w:val="single"/>
          <w:lang w:val="es-CO"/>
        </w:rPr>
        <w:t xml:space="preserve">D): </w:t>
      </w:r>
      <w:r w:rsidRPr="00382848">
        <w:rPr>
          <w:rFonts w:ascii="Arial" w:hAnsi="Arial" w:cs="Arial"/>
          <w:b/>
          <w:bCs/>
          <w:color w:val="000000"/>
          <w:sz w:val="22"/>
          <w:szCs w:val="22"/>
          <w:u w:val="single"/>
          <w:lang w:val="es-CO"/>
        </w:rPr>
        <w:t xml:space="preserve">El </w:t>
      </w:r>
      <w:r w:rsidR="005C6A16">
        <w:rPr>
          <w:rFonts w:ascii="Arial" w:hAnsi="Arial" w:cs="Arial"/>
          <w:b/>
          <w:bCs/>
          <w:color w:val="000000"/>
          <w:sz w:val="22"/>
          <w:szCs w:val="22"/>
          <w:u w:val="single"/>
          <w:lang w:val="es-CO"/>
        </w:rPr>
        <w:t>F</w:t>
      </w:r>
      <w:r w:rsidR="005C6A16" w:rsidRPr="00382848">
        <w:rPr>
          <w:rFonts w:ascii="Arial" w:hAnsi="Arial" w:cs="Arial"/>
          <w:b/>
          <w:bCs/>
          <w:color w:val="000000"/>
          <w:sz w:val="22"/>
          <w:szCs w:val="22"/>
          <w:u w:val="single"/>
          <w:lang w:val="es-CO"/>
        </w:rPr>
        <w:t xml:space="preserve">actor </w:t>
      </w:r>
      <w:r w:rsidRPr="00382848">
        <w:rPr>
          <w:rFonts w:ascii="Arial" w:hAnsi="Arial" w:cs="Arial"/>
          <w:b/>
          <w:bCs/>
          <w:color w:val="000000"/>
          <w:sz w:val="22"/>
          <w:szCs w:val="22"/>
          <w:u w:val="single"/>
          <w:lang w:val="es-CO"/>
        </w:rPr>
        <w:t xml:space="preserve">de </w:t>
      </w:r>
      <w:r w:rsidR="005C6A16">
        <w:rPr>
          <w:rFonts w:ascii="Arial" w:hAnsi="Arial" w:cs="Arial"/>
          <w:b/>
          <w:bCs/>
          <w:color w:val="000000"/>
          <w:sz w:val="22"/>
          <w:szCs w:val="22"/>
          <w:u w:val="single"/>
          <w:lang w:val="es-CO"/>
        </w:rPr>
        <w:t>A</w:t>
      </w:r>
      <w:r w:rsidR="005C6A16" w:rsidRPr="00382848">
        <w:rPr>
          <w:rFonts w:ascii="Arial" w:hAnsi="Arial" w:cs="Arial"/>
          <w:b/>
          <w:bCs/>
          <w:color w:val="000000"/>
          <w:sz w:val="22"/>
          <w:szCs w:val="22"/>
          <w:u w:val="single"/>
          <w:lang w:val="es-CO"/>
        </w:rPr>
        <w:t xml:space="preserve">juste </w:t>
      </w:r>
      <w:r w:rsidR="005C6A16">
        <w:rPr>
          <w:rFonts w:ascii="Arial" w:hAnsi="Arial" w:cs="Arial"/>
          <w:b/>
          <w:bCs/>
          <w:color w:val="000000"/>
          <w:sz w:val="22"/>
          <w:szCs w:val="22"/>
          <w:u w:val="single"/>
          <w:lang w:val="es-CO"/>
        </w:rPr>
        <w:t>D</w:t>
      </w:r>
      <w:r w:rsidR="005C6A16" w:rsidRPr="00382848">
        <w:rPr>
          <w:rFonts w:ascii="Arial" w:hAnsi="Arial" w:cs="Arial"/>
          <w:b/>
          <w:bCs/>
          <w:color w:val="000000"/>
          <w:sz w:val="22"/>
          <w:szCs w:val="22"/>
          <w:u w:val="single"/>
          <w:lang w:val="es-CO"/>
        </w:rPr>
        <w:t xml:space="preserve">iferencial </w:t>
      </w:r>
      <w:r w:rsidRPr="00382848">
        <w:rPr>
          <w:rFonts w:ascii="Arial" w:hAnsi="Arial" w:cs="Arial"/>
          <w:b/>
          <w:bCs/>
          <w:color w:val="000000"/>
          <w:sz w:val="22"/>
          <w:szCs w:val="22"/>
          <w:u w:val="single"/>
          <w:lang w:val="es-CO"/>
        </w:rPr>
        <w:t xml:space="preserve">reconoce el comportamiento de los indicadores financieros de las SEDPES </w:t>
      </w:r>
      <w:r w:rsidR="00065A09" w:rsidRPr="00382848">
        <w:rPr>
          <w:rFonts w:ascii="Arial" w:hAnsi="Arial" w:cs="Arial"/>
          <w:b/>
          <w:bCs/>
          <w:color w:val="000000"/>
          <w:sz w:val="22"/>
          <w:szCs w:val="22"/>
          <w:u w:val="single"/>
          <w:lang w:val="es-CO"/>
        </w:rPr>
        <w:t>y determina el ajuste aplicable al cálculo de la prima diferencial</w:t>
      </w:r>
      <w:r w:rsidR="0067706D" w:rsidRPr="00382848">
        <w:rPr>
          <w:rFonts w:ascii="Arial" w:hAnsi="Arial" w:cs="Arial"/>
          <w:b/>
          <w:bCs/>
          <w:color w:val="000000"/>
          <w:sz w:val="22"/>
          <w:szCs w:val="22"/>
          <w:u w:val="single"/>
          <w:lang w:val="es-CO"/>
        </w:rPr>
        <w:t>. Este factor se ca</w:t>
      </w:r>
      <w:r w:rsidR="00607BE2" w:rsidRPr="00382848">
        <w:rPr>
          <w:rFonts w:ascii="Arial" w:hAnsi="Arial" w:cs="Arial"/>
          <w:b/>
          <w:bCs/>
          <w:color w:val="000000"/>
          <w:sz w:val="22"/>
          <w:szCs w:val="22"/>
          <w:u w:val="single"/>
          <w:lang w:val="es-CO"/>
        </w:rPr>
        <w:t>l</w:t>
      </w:r>
      <w:r w:rsidR="0067706D" w:rsidRPr="00382848">
        <w:rPr>
          <w:rFonts w:ascii="Arial" w:hAnsi="Arial" w:cs="Arial"/>
          <w:b/>
          <w:bCs/>
          <w:color w:val="000000"/>
          <w:sz w:val="22"/>
          <w:szCs w:val="22"/>
          <w:u w:val="single"/>
          <w:lang w:val="es-CO"/>
        </w:rPr>
        <w:t xml:space="preserve">culará trimestralmente, con base en </w:t>
      </w:r>
      <w:r w:rsidRPr="00382848">
        <w:rPr>
          <w:rFonts w:ascii="Arial" w:hAnsi="Arial" w:cs="Arial"/>
          <w:b/>
          <w:bCs/>
          <w:color w:val="000000"/>
          <w:sz w:val="22"/>
          <w:szCs w:val="22"/>
          <w:u w:val="single"/>
          <w:lang w:val="es-CO"/>
        </w:rPr>
        <w:t>la calificación de riesgo</w:t>
      </w:r>
      <w:r w:rsidR="00FE4651" w:rsidRPr="00382848">
        <w:rPr>
          <w:rFonts w:ascii="Arial" w:hAnsi="Arial" w:cs="Arial"/>
          <w:b/>
          <w:bCs/>
          <w:color w:val="000000"/>
          <w:sz w:val="22"/>
          <w:szCs w:val="22"/>
          <w:u w:val="single"/>
          <w:lang w:val="es-CO"/>
        </w:rPr>
        <w:t xml:space="preserve"> obtenida por cada entidad</w:t>
      </w:r>
      <w:r w:rsidR="00905095" w:rsidRPr="00382848">
        <w:rPr>
          <w:rFonts w:ascii="Arial" w:hAnsi="Arial" w:cs="Arial"/>
          <w:b/>
          <w:bCs/>
          <w:color w:val="000000"/>
          <w:sz w:val="22"/>
          <w:szCs w:val="22"/>
          <w:u w:val="single"/>
          <w:lang w:val="es-CO"/>
        </w:rPr>
        <w:t>,</w:t>
      </w:r>
      <w:r w:rsidR="00FE4651" w:rsidRPr="00382848">
        <w:rPr>
          <w:rFonts w:ascii="Arial" w:hAnsi="Arial" w:cs="Arial"/>
          <w:b/>
          <w:bCs/>
          <w:color w:val="000000"/>
          <w:sz w:val="22"/>
          <w:szCs w:val="22"/>
          <w:u w:val="single"/>
          <w:lang w:val="es-CO"/>
        </w:rPr>
        <w:t xml:space="preserve"> de acuerdo </w:t>
      </w:r>
      <w:r w:rsidR="00905095" w:rsidRPr="00382848">
        <w:rPr>
          <w:rFonts w:ascii="Arial" w:hAnsi="Arial" w:cs="Arial"/>
          <w:b/>
          <w:bCs/>
          <w:color w:val="000000"/>
          <w:sz w:val="22"/>
          <w:szCs w:val="22"/>
          <w:u w:val="single"/>
          <w:lang w:val="es-CO"/>
        </w:rPr>
        <w:t>con</w:t>
      </w:r>
      <w:r w:rsidR="00FE4651" w:rsidRPr="00382848">
        <w:rPr>
          <w:rFonts w:ascii="Arial" w:hAnsi="Arial" w:cs="Arial"/>
          <w:b/>
          <w:bCs/>
          <w:color w:val="000000"/>
          <w:sz w:val="22"/>
          <w:szCs w:val="22"/>
          <w:u w:val="single"/>
          <w:lang w:val="es-CO"/>
        </w:rPr>
        <w:t xml:space="preserve"> lo establecido en </w:t>
      </w:r>
      <w:r w:rsidR="002E6DE6" w:rsidRPr="00382848">
        <w:rPr>
          <w:rFonts w:ascii="Arial" w:hAnsi="Arial" w:cs="Arial"/>
          <w:b/>
          <w:bCs/>
          <w:color w:val="000000"/>
          <w:sz w:val="22"/>
          <w:szCs w:val="22"/>
          <w:u w:val="single"/>
          <w:lang w:val="es-CO"/>
        </w:rPr>
        <w:t>el</w:t>
      </w:r>
      <w:r w:rsidR="002B16B6" w:rsidRPr="00382848">
        <w:rPr>
          <w:rFonts w:ascii="Arial" w:hAnsi="Arial" w:cs="Arial"/>
          <w:b/>
          <w:bCs/>
          <w:color w:val="000000"/>
          <w:sz w:val="22"/>
          <w:szCs w:val="22"/>
          <w:u w:val="single"/>
          <w:lang w:val="es-CO"/>
        </w:rPr>
        <w:t xml:space="preserve"> presente art</w:t>
      </w:r>
      <w:r w:rsidR="00905095" w:rsidRPr="00382848">
        <w:rPr>
          <w:rFonts w:ascii="Arial" w:hAnsi="Arial" w:cs="Arial"/>
          <w:b/>
          <w:bCs/>
          <w:color w:val="000000"/>
          <w:sz w:val="22"/>
          <w:szCs w:val="22"/>
          <w:u w:val="single"/>
          <w:lang w:val="es-CO"/>
        </w:rPr>
        <w:t>í</w:t>
      </w:r>
      <w:r w:rsidR="002B16B6" w:rsidRPr="00382848">
        <w:rPr>
          <w:rFonts w:ascii="Arial" w:hAnsi="Arial" w:cs="Arial"/>
          <w:b/>
          <w:bCs/>
          <w:color w:val="000000"/>
          <w:sz w:val="22"/>
          <w:szCs w:val="22"/>
          <w:u w:val="single"/>
          <w:lang w:val="es-CO"/>
        </w:rPr>
        <w:t>culo</w:t>
      </w:r>
      <w:r w:rsidRPr="00382848">
        <w:rPr>
          <w:rFonts w:ascii="Arial" w:hAnsi="Arial" w:cs="Arial"/>
          <w:b/>
          <w:bCs/>
          <w:color w:val="000000"/>
          <w:sz w:val="22"/>
          <w:szCs w:val="22"/>
          <w:u w:val="single"/>
          <w:lang w:val="es-CO"/>
        </w:rPr>
        <w:t>.</w:t>
      </w:r>
    </w:p>
    <w:p w14:paraId="0DCA11E9" w14:textId="77777777" w:rsidR="00A419D1" w:rsidRPr="00382848" w:rsidRDefault="00A419D1" w:rsidP="007F2502">
      <w:pPr>
        <w:jc w:val="both"/>
        <w:rPr>
          <w:rFonts w:ascii="Arial" w:hAnsi="Arial" w:cs="Arial"/>
          <w:b/>
          <w:bCs/>
          <w:color w:val="000000"/>
          <w:sz w:val="22"/>
          <w:szCs w:val="22"/>
          <w:u w:val="single"/>
          <w:lang w:val="es-CO"/>
        </w:rPr>
      </w:pPr>
    </w:p>
    <w:p w14:paraId="0D740574" w14:textId="24DE1C20" w:rsidR="00A419D1" w:rsidRPr="00382848" w:rsidRDefault="00A419D1" w:rsidP="00A419D1">
      <w:pPr>
        <w:jc w:val="both"/>
        <w:rPr>
          <w:rFonts w:ascii="Arial" w:hAnsi="Arial" w:cs="Arial"/>
          <w:b/>
          <w:bCs/>
          <w:color w:val="000000"/>
          <w:sz w:val="22"/>
          <w:szCs w:val="22"/>
          <w:u w:val="single"/>
          <w:lang w:val="es-CO"/>
        </w:rPr>
      </w:pPr>
      <w:r w:rsidRPr="00382848">
        <w:rPr>
          <w:rFonts w:ascii="Arial" w:eastAsia="Arial" w:hAnsi="Arial" w:cs="Arial"/>
          <w:b/>
          <w:bCs/>
          <w:color w:val="000000" w:themeColor="text1"/>
          <w:sz w:val="22"/>
          <w:szCs w:val="22"/>
          <w:u w:val="single"/>
        </w:rPr>
        <w:t xml:space="preserve">PARÁGRAFO PRIMERO. </w:t>
      </w:r>
      <w:r w:rsidR="00FE483E" w:rsidRPr="00382848">
        <w:rPr>
          <w:rFonts w:ascii="Arial" w:hAnsi="Arial" w:cs="Arial"/>
          <w:b/>
          <w:bCs/>
          <w:color w:val="000000"/>
          <w:sz w:val="22"/>
          <w:szCs w:val="22"/>
          <w:u w:val="single"/>
          <w:lang w:val="es-CO"/>
        </w:rPr>
        <w:t xml:space="preserve">El </w:t>
      </w:r>
      <w:r w:rsidRPr="00382848">
        <w:rPr>
          <w:rFonts w:ascii="Arial" w:hAnsi="Arial" w:cs="Arial"/>
          <w:b/>
          <w:bCs/>
          <w:color w:val="000000"/>
          <w:sz w:val="22"/>
          <w:szCs w:val="22"/>
          <w:u w:val="single"/>
          <w:lang w:val="es-CO"/>
        </w:rPr>
        <w:t>factor de ajuste diferencial (F</w:t>
      </w:r>
      <w:r w:rsidR="002B5FDC">
        <w:rPr>
          <w:rFonts w:ascii="Arial" w:hAnsi="Arial" w:cs="Arial"/>
          <w:b/>
          <w:bCs/>
          <w:color w:val="000000"/>
          <w:sz w:val="22"/>
          <w:szCs w:val="22"/>
          <w:u w:val="single"/>
          <w:lang w:val="es-CO"/>
        </w:rPr>
        <w:t>A</w:t>
      </w:r>
      <w:r w:rsidRPr="00382848">
        <w:rPr>
          <w:rFonts w:ascii="Arial" w:hAnsi="Arial" w:cs="Arial"/>
          <w:b/>
          <w:bCs/>
          <w:color w:val="000000"/>
          <w:sz w:val="22"/>
          <w:szCs w:val="22"/>
          <w:u w:val="single"/>
          <w:lang w:val="es-CO"/>
        </w:rPr>
        <w:t xml:space="preserve">D) </w:t>
      </w:r>
      <w:r w:rsidR="00D5233E" w:rsidRPr="00382848">
        <w:rPr>
          <w:rFonts w:ascii="Arial" w:hAnsi="Arial" w:cs="Arial"/>
          <w:b/>
          <w:bCs/>
          <w:color w:val="000000"/>
          <w:sz w:val="22"/>
          <w:szCs w:val="22"/>
          <w:u w:val="single"/>
          <w:lang w:val="es-CO"/>
        </w:rPr>
        <w:t xml:space="preserve">aplicable </w:t>
      </w:r>
      <w:r w:rsidR="0016517F" w:rsidRPr="00382848">
        <w:rPr>
          <w:rFonts w:ascii="Arial" w:hAnsi="Arial" w:cs="Arial"/>
          <w:b/>
          <w:bCs/>
          <w:color w:val="000000"/>
          <w:sz w:val="22"/>
          <w:szCs w:val="22"/>
          <w:u w:val="single"/>
          <w:lang w:val="es-CO"/>
        </w:rPr>
        <w:t xml:space="preserve">al cálculo de la </w:t>
      </w:r>
      <w:r w:rsidRPr="00382848">
        <w:rPr>
          <w:rFonts w:ascii="Arial" w:hAnsi="Arial" w:cs="Arial"/>
          <w:b/>
          <w:bCs/>
          <w:color w:val="000000"/>
          <w:sz w:val="22"/>
          <w:szCs w:val="22"/>
          <w:u w:val="single"/>
          <w:lang w:val="es-CO"/>
        </w:rPr>
        <w:t xml:space="preserve">prima diferencial </w:t>
      </w:r>
      <w:r w:rsidR="0016517F" w:rsidRPr="00382848">
        <w:rPr>
          <w:rFonts w:ascii="Arial" w:hAnsi="Arial" w:cs="Arial"/>
          <w:b/>
          <w:bCs/>
          <w:color w:val="000000"/>
          <w:sz w:val="22"/>
          <w:szCs w:val="22"/>
          <w:u w:val="single"/>
          <w:lang w:val="es-CO"/>
        </w:rPr>
        <w:t xml:space="preserve">prevista en el </w:t>
      </w:r>
      <w:r w:rsidRPr="00382848">
        <w:rPr>
          <w:rFonts w:ascii="Arial" w:hAnsi="Arial" w:cs="Arial"/>
          <w:b/>
          <w:bCs/>
          <w:color w:val="000000"/>
          <w:sz w:val="22"/>
          <w:szCs w:val="22"/>
          <w:u w:val="single"/>
          <w:lang w:val="es-CO"/>
        </w:rPr>
        <w:t xml:space="preserve">artículo quinto de la presente Resolución, </w:t>
      </w:r>
      <w:r w:rsidR="00216FBE" w:rsidRPr="00382848">
        <w:rPr>
          <w:rFonts w:ascii="Arial" w:hAnsi="Arial" w:cs="Arial"/>
          <w:b/>
          <w:bCs/>
          <w:color w:val="000000"/>
          <w:sz w:val="22"/>
          <w:szCs w:val="22"/>
          <w:u w:val="single"/>
          <w:lang w:val="es-CO"/>
        </w:rPr>
        <w:t>se determinará trimestralmente mediante la aplicación de las siguientes fórmulas, según la calificación de riesgo (CR) obtenida por la SEDPE</w:t>
      </w:r>
      <w:r w:rsidR="00FE5A86" w:rsidRPr="00382848">
        <w:rPr>
          <w:rFonts w:ascii="Arial" w:hAnsi="Arial" w:cs="Arial"/>
          <w:b/>
          <w:bCs/>
          <w:color w:val="000000"/>
          <w:sz w:val="22"/>
          <w:szCs w:val="22"/>
          <w:u w:val="single"/>
          <w:lang w:val="es-CO"/>
        </w:rPr>
        <w:t>:</w:t>
      </w:r>
      <w:r w:rsidRPr="00382848">
        <w:rPr>
          <w:rFonts w:ascii="Arial" w:hAnsi="Arial" w:cs="Arial"/>
          <w:b/>
          <w:bCs/>
          <w:color w:val="000000"/>
          <w:sz w:val="22"/>
          <w:szCs w:val="22"/>
          <w:u w:val="single"/>
          <w:lang w:val="es-CO"/>
        </w:rPr>
        <w:t xml:space="preserve"> </w:t>
      </w:r>
    </w:p>
    <w:p w14:paraId="3701EAAA" w14:textId="77777777" w:rsidR="00A419D1" w:rsidRPr="00382848" w:rsidRDefault="00A419D1" w:rsidP="00A419D1">
      <w:pPr>
        <w:rPr>
          <w:rFonts w:ascii="Arial" w:hAnsi="Arial" w:cs="Arial"/>
          <w:b/>
          <w:bCs/>
          <w:color w:val="000000"/>
          <w:sz w:val="22"/>
          <w:szCs w:val="22"/>
          <w:u w:val="single"/>
          <w:lang w:val="es-CO"/>
        </w:rPr>
      </w:pPr>
    </w:p>
    <w:p w14:paraId="5F944616" w14:textId="77777777" w:rsidR="00A419D1" w:rsidRPr="00382848" w:rsidRDefault="00A419D1" w:rsidP="00A419D1">
      <w:pPr>
        <w:pStyle w:val="Prrafodelista"/>
        <w:numPr>
          <w:ilvl w:val="0"/>
          <w:numId w:val="4"/>
        </w:numPr>
        <w:rPr>
          <w:rFonts w:ascii="Arial" w:hAnsi="Arial" w:cs="Arial"/>
          <w:b/>
          <w:bCs/>
          <w:color w:val="000000"/>
          <w:sz w:val="22"/>
          <w:szCs w:val="22"/>
          <w:u w:val="single"/>
          <w:lang w:val="es-CO"/>
        </w:rPr>
      </w:pPr>
      <w:r w:rsidRPr="00382848">
        <w:rPr>
          <w:rFonts w:ascii="Arial" w:hAnsi="Arial" w:cs="Arial"/>
          <w:b/>
          <w:bCs/>
          <w:color w:val="000000"/>
          <w:sz w:val="22"/>
          <w:szCs w:val="22"/>
          <w:u w:val="single"/>
          <w:lang w:val="es-CO"/>
        </w:rPr>
        <w:t>Si la calificación de riesgo (CR) está entre 1 y 2.99:</w:t>
      </w:r>
    </w:p>
    <w:p w14:paraId="56519B06" w14:textId="77777777" w:rsidR="00A419D1" w:rsidRPr="00382848" w:rsidRDefault="00A419D1" w:rsidP="00A419D1">
      <w:pPr>
        <w:pStyle w:val="Prrafodelista"/>
        <w:rPr>
          <w:rFonts w:ascii="Arial" w:hAnsi="Arial" w:cs="Arial"/>
          <w:b/>
          <w:bCs/>
          <w:color w:val="000000"/>
          <w:sz w:val="22"/>
          <w:szCs w:val="22"/>
          <w:u w:val="single"/>
          <w:lang w:val="es-CO"/>
        </w:rPr>
      </w:pPr>
    </w:p>
    <w:p w14:paraId="13B517A3" w14:textId="77870FEA" w:rsidR="00A419D1" w:rsidRPr="00382848" w:rsidRDefault="00C51D0D" w:rsidP="00A419D1">
      <w:pPr>
        <w:pStyle w:val="Prrafodelista"/>
        <w:ind w:left="1416"/>
        <w:rPr>
          <w:rFonts w:ascii="Arial" w:hAnsi="Arial" w:cs="Arial"/>
          <w:b/>
          <w:bCs/>
          <w:color w:val="000000"/>
          <w:sz w:val="22"/>
          <w:szCs w:val="22"/>
          <w:u w:val="single"/>
          <w:lang w:val="es-CO"/>
        </w:rPr>
      </w:pPr>
      <m:oMathPara>
        <m:oMath>
          <m:r>
            <m:rPr>
              <m:sty m:val="bi"/>
            </m:rPr>
            <w:rPr>
              <w:rFonts w:ascii="Cambria Math" w:hAnsi="Cambria Math" w:cs="Arial"/>
              <w:color w:val="000000"/>
              <w:sz w:val="22"/>
              <w:szCs w:val="22"/>
              <w:u w:val="single"/>
              <w:lang w:val="es-CO"/>
            </w:rPr>
            <m:t>FAD=(1+</m:t>
          </m:r>
          <m:d>
            <m:dPr>
              <m:begChr m:val="{"/>
              <m:endChr m:val="}"/>
              <m:ctrlPr>
                <w:rPr>
                  <w:rFonts w:ascii="Cambria Math" w:hAnsi="Cambria Math" w:cs="Arial"/>
                  <w:b/>
                  <w:bCs/>
                  <w:i/>
                  <w:color w:val="000000"/>
                  <w:sz w:val="22"/>
                  <w:szCs w:val="22"/>
                  <w:u w:val="single"/>
                  <w:lang w:val="es-CO"/>
                </w:rPr>
              </m:ctrlPr>
            </m:dPr>
            <m:e>
              <m:d>
                <m:dPr>
                  <m:ctrlPr>
                    <w:rPr>
                      <w:rFonts w:ascii="Cambria Math" w:hAnsi="Cambria Math" w:cs="Arial"/>
                      <w:b/>
                      <w:bCs/>
                      <w:i/>
                      <w:color w:val="000000"/>
                      <w:sz w:val="22"/>
                      <w:szCs w:val="22"/>
                      <w:u w:val="single"/>
                      <w:lang w:val="es-CO"/>
                    </w:rPr>
                  </m:ctrlPr>
                </m:dPr>
                <m:e>
                  <m:r>
                    <m:rPr>
                      <m:sty m:val="bi"/>
                    </m:rPr>
                    <w:rPr>
                      <w:rFonts w:ascii="Cambria Math" w:hAnsi="Cambria Math" w:cs="Arial"/>
                      <w:color w:val="000000"/>
                      <w:sz w:val="22"/>
                      <w:szCs w:val="22"/>
                      <w:u w:val="single"/>
                      <w:lang w:val="es-CO"/>
                    </w:rPr>
                    <m:t>0.25*CR</m:t>
                  </m:r>
                </m:e>
              </m:d>
              <m:r>
                <m:rPr>
                  <m:sty m:val="bi"/>
                </m:rPr>
                <w:rPr>
                  <w:rFonts w:ascii="Cambria Math" w:hAnsi="Cambria Math" w:cs="Arial"/>
                  <w:color w:val="000000"/>
                  <w:sz w:val="22"/>
                  <w:szCs w:val="22"/>
                  <w:u w:val="single"/>
                  <w:lang w:val="es-CO"/>
                </w:rPr>
                <m:t>-0.75</m:t>
              </m:r>
            </m:e>
          </m:d>
          <m:r>
            <m:rPr>
              <m:sty m:val="bi"/>
            </m:rPr>
            <w:rPr>
              <w:rFonts w:ascii="Cambria Math" w:hAnsi="Cambria Math" w:cs="Arial"/>
              <w:color w:val="000000"/>
              <w:sz w:val="22"/>
              <w:szCs w:val="22"/>
              <w:u w:val="single"/>
              <w:lang w:val="es-CO"/>
            </w:rPr>
            <m:t>)*100</m:t>
          </m:r>
        </m:oMath>
      </m:oMathPara>
    </w:p>
    <w:p w14:paraId="2558959E" w14:textId="77777777" w:rsidR="00A419D1" w:rsidRPr="00382848" w:rsidRDefault="00A419D1" w:rsidP="00A419D1">
      <w:pPr>
        <w:rPr>
          <w:rFonts w:ascii="Arial" w:hAnsi="Arial" w:cs="Arial"/>
          <w:b/>
          <w:bCs/>
          <w:color w:val="000000"/>
          <w:sz w:val="22"/>
          <w:szCs w:val="22"/>
          <w:u w:val="single"/>
          <w:lang w:val="es-CO"/>
        </w:rPr>
      </w:pPr>
    </w:p>
    <w:p w14:paraId="52709A3A" w14:textId="77777777" w:rsidR="00A419D1" w:rsidRPr="00382848" w:rsidRDefault="00A419D1" w:rsidP="00A419D1">
      <w:pPr>
        <w:pStyle w:val="Prrafodelista"/>
        <w:numPr>
          <w:ilvl w:val="0"/>
          <w:numId w:val="4"/>
        </w:numPr>
        <w:rPr>
          <w:rFonts w:ascii="Arial" w:hAnsi="Arial" w:cs="Arial"/>
          <w:b/>
          <w:bCs/>
          <w:color w:val="000000"/>
          <w:sz w:val="22"/>
          <w:szCs w:val="22"/>
          <w:u w:val="single"/>
          <w:lang w:val="es-CO"/>
        </w:rPr>
      </w:pPr>
      <w:r w:rsidRPr="00382848">
        <w:rPr>
          <w:rFonts w:ascii="Arial" w:hAnsi="Arial" w:cs="Arial"/>
          <w:b/>
          <w:bCs/>
          <w:color w:val="000000"/>
          <w:sz w:val="22"/>
          <w:szCs w:val="22"/>
          <w:u w:val="single"/>
          <w:lang w:val="es-CO"/>
        </w:rPr>
        <w:t>Si la calificación de riesgo (CR) es superior a 3:</w:t>
      </w:r>
    </w:p>
    <w:p w14:paraId="44D97604" w14:textId="77777777" w:rsidR="00A419D1" w:rsidRPr="00382848" w:rsidRDefault="00A419D1" w:rsidP="00A419D1">
      <w:pPr>
        <w:pStyle w:val="Prrafodelista"/>
        <w:rPr>
          <w:rFonts w:ascii="Arial" w:hAnsi="Arial" w:cs="Arial"/>
          <w:b/>
          <w:bCs/>
          <w:color w:val="000000"/>
          <w:sz w:val="22"/>
          <w:szCs w:val="22"/>
          <w:u w:val="single"/>
          <w:lang w:val="es-CO"/>
        </w:rPr>
      </w:pPr>
    </w:p>
    <w:p w14:paraId="65915436" w14:textId="6A1C5855" w:rsidR="00A419D1" w:rsidRPr="00382848" w:rsidRDefault="00A419D1" w:rsidP="00A419D1">
      <w:pPr>
        <w:pStyle w:val="Prrafodelista"/>
        <w:ind w:left="2844" w:firstLine="696"/>
        <w:rPr>
          <w:rFonts w:ascii="Arial" w:hAnsi="Arial" w:cs="Arial"/>
          <w:b/>
          <w:bCs/>
          <w:color w:val="000000"/>
          <w:sz w:val="22"/>
          <w:szCs w:val="22"/>
          <w:u w:val="single"/>
          <w:lang w:val="es-CO"/>
        </w:rPr>
      </w:pPr>
      <w:r w:rsidRPr="00382848">
        <w:rPr>
          <w:rFonts w:ascii="Arial" w:hAnsi="Arial" w:cs="Arial"/>
          <w:b/>
          <w:bCs/>
          <w:color w:val="000000"/>
          <w:sz w:val="22"/>
          <w:szCs w:val="22"/>
          <w:u w:val="single"/>
          <w:lang w:val="es-CO"/>
        </w:rPr>
        <w:t xml:space="preserve"> </w:t>
      </w:r>
      <m:oMath>
        <m:r>
          <m:rPr>
            <m:sty m:val="bi"/>
          </m:rPr>
          <w:rPr>
            <w:rFonts w:ascii="Cambria Math" w:hAnsi="Cambria Math" w:cs="Arial"/>
            <w:color w:val="000000"/>
            <w:sz w:val="22"/>
            <w:szCs w:val="22"/>
            <w:u w:val="single"/>
            <w:lang w:val="es-CO"/>
          </w:rPr>
          <m:t>FAD=1*100</m:t>
        </m:r>
      </m:oMath>
    </w:p>
    <w:p w14:paraId="135896E1" w14:textId="77777777" w:rsidR="00A419D1" w:rsidRPr="00C51D0D" w:rsidRDefault="00A419D1" w:rsidP="00A419D1">
      <w:pPr>
        <w:rPr>
          <w:rFonts w:ascii="Arial" w:hAnsi="Arial" w:cs="Arial"/>
          <w:b/>
          <w:bCs/>
          <w:color w:val="000000" w:themeColor="text1"/>
          <w:sz w:val="22"/>
          <w:szCs w:val="22"/>
          <w:u w:val="single"/>
          <w:lang w:val="es-CO"/>
        </w:rPr>
      </w:pPr>
    </w:p>
    <w:p w14:paraId="3FE7CD95" w14:textId="62977A4C" w:rsidR="007F2502" w:rsidRPr="007D0749" w:rsidRDefault="007F2502" w:rsidP="007F2502">
      <w:pPr>
        <w:jc w:val="both"/>
        <w:rPr>
          <w:rFonts w:ascii="Arial" w:hAnsi="Arial" w:cs="Arial"/>
          <w:b/>
          <w:bCs/>
          <w:color w:val="000000" w:themeColor="text1"/>
          <w:sz w:val="22"/>
          <w:szCs w:val="22"/>
          <w:u w:val="single"/>
        </w:rPr>
      </w:pPr>
      <w:r w:rsidRPr="00382848">
        <w:rPr>
          <w:rFonts w:ascii="Arial" w:eastAsia="Arial" w:hAnsi="Arial" w:cs="Arial"/>
          <w:b/>
          <w:bCs/>
          <w:color w:val="000000" w:themeColor="text1"/>
          <w:sz w:val="22"/>
          <w:szCs w:val="22"/>
          <w:u w:val="single"/>
        </w:rPr>
        <w:t xml:space="preserve">PARÁGRAFO </w:t>
      </w:r>
      <w:r w:rsidR="00FE4651" w:rsidRPr="00382848">
        <w:rPr>
          <w:rFonts w:ascii="Arial" w:eastAsia="Arial" w:hAnsi="Arial" w:cs="Arial"/>
          <w:b/>
          <w:bCs/>
          <w:color w:val="000000" w:themeColor="text1"/>
          <w:sz w:val="22"/>
          <w:szCs w:val="22"/>
          <w:u w:val="single"/>
        </w:rPr>
        <w:t>SEGUNDO</w:t>
      </w:r>
      <w:r w:rsidRPr="00382848">
        <w:rPr>
          <w:rFonts w:ascii="Arial" w:eastAsia="Arial" w:hAnsi="Arial" w:cs="Arial"/>
          <w:b/>
          <w:bCs/>
          <w:color w:val="000000" w:themeColor="text1"/>
          <w:sz w:val="22"/>
          <w:szCs w:val="22"/>
          <w:u w:val="single"/>
        </w:rPr>
        <w:t xml:space="preserve">. </w:t>
      </w:r>
      <w:r w:rsidRPr="00382848">
        <w:rPr>
          <w:rFonts w:ascii="Arial" w:hAnsi="Arial" w:cs="Arial"/>
          <w:b/>
          <w:bCs/>
          <w:color w:val="000000"/>
          <w:sz w:val="22"/>
          <w:szCs w:val="22"/>
          <w:u w:val="single"/>
          <w:lang w:val="es-CO"/>
        </w:rPr>
        <w:t>La calificación por riesgo</w:t>
      </w:r>
      <w:r w:rsidR="00984EFC" w:rsidRPr="00382848">
        <w:rPr>
          <w:rFonts w:ascii="Arial" w:hAnsi="Arial" w:cs="Arial"/>
          <w:b/>
          <w:bCs/>
          <w:color w:val="000000"/>
          <w:sz w:val="22"/>
          <w:szCs w:val="22"/>
          <w:u w:val="single"/>
          <w:lang w:val="es-CO"/>
        </w:rPr>
        <w:t xml:space="preserve"> (CR)</w:t>
      </w:r>
      <w:r w:rsidRPr="00382848">
        <w:rPr>
          <w:rFonts w:ascii="Arial" w:hAnsi="Arial" w:cs="Arial"/>
          <w:b/>
          <w:bCs/>
          <w:color w:val="000000"/>
          <w:sz w:val="22"/>
          <w:szCs w:val="22"/>
          <w:u w:val="single"/>
          <w:lang w:val="es-CO"/>
        </w:rPr>
        <w:t xml:space="preserve"> es una </w:t>
      </w:r>
      <w:r w:rsidR="00984EFC" w:rsidRPr="00382848">
        <w:rPr>
          <w:rFonts w:ascii="Arial" w:hAnsi="Arial" w:cs="Arial"/>
          <w:b/>
          <w:bCs/>
          <w:color w:val="000000"/>
          <w:sz w:val="22"/>
          <w:szCs w:val="22"/>
          <w:u w:val="single"/>
          <w:lang w:val="es-CO"/>
        </w:rPr>
        <w:t>medida que toma valores</w:t>
      </w:r>
      <w:r w:rsidRPr="00382848">
        <w:rPr>
          <w:rFonts w:ascii="Arial" w:hAnsi="Arial" w:cs="Arial"/>
          <w:b/>
          <w:bCs/>
          <w:color w:val="000000"/>
          <w:sz w:val="22"/>
          <w:szCs w:val="22"/>
          <w:u w:val="single"/>
          <w:lang w:val="es-CO"/>
        </w:rPr>
        <w:t xml:space="preserve"> entre 1 y 5, y se calcula</w:t>
      </w:r>
      <w:r w:rsidR="00984EFC" w:rsidRPr="00382848">
        <w:rPr>
          <w:rFonts w:ascii="Arial" w:hAnsi="Arial" w:cs="Arial"/>
          <w:b/>
          <w:bCs/>
          <w:color w:val="000000"/>
          <w:sz w:val="22"/>
          <w:szCs w:val="22"/>
          <w:u w:val="single"/>
          <w:lang w:val="es-CO"/>
        </w:rPr>
        <w:t>rá</w:t>
      </w:r>
      <w:r w:rsidRPr="00382848">
        <w:rPr>
          <w:rFonts w:ascii="Arial" w:hAnsi="Arial" w:cs="Arial"/>
          <w:b/>
          <w:bCs/>
          <w:color w:val="000000"/>
          <w:sz w:val="22"/>
          <w:szCs w:val="22"/>
          <w:u w:val="single"/>
          <w:lang w:val="es-CO"/>
        </w:rPr>
        <w:t xml:space="preserve"> trimestralmente para cada una de las SEDPES inscritas</w:t>
      </w:r>
      <w:r w:rsidR="00D257EC" w:rsidRPr="00382848">
        <w:rPr>
          <w:rFonts w:ascii="Arial" w:hAnsi="Arial" w:cs="Arial"/>
          <w:b/>
          <w:bCs/>
          <w:color w:val="000000"/>
          <w:sz w:val="22"/>
          <w:szCs w:val="22"/>
          <w:u w:val="single"/>
          <w:lang w:val="es-CO"/>
        </w:rPr>
        <w:t>,</w:t>
      </w:r>
      <w:r w:rsidRPr="00382848">
        <w:rPr>
          <w:rFonts w:ascii="Arial" w:hAnsi="Arial" w:cs="Arial"/>
          <w:b/>
          <w:bCs/>
          <w:color w:val="000000"/>
          <w:sz w:val="22"/>
          <w:szCs w:val="22"/>
          <w:u w:val="single"/>
          <w:lang w:val="es-CO"/>
        </w:rPr>
        <w:t xml:space="preserve"> de conformidad con el procedimiento que </w:t>
      </w:r>
      <w:r w:rsidR="00D257EC" w:rsidRPr="00382848">
        <w:rPr>
          <w:rFonts w:ascii="Arial" w:hAnsi="Arial" w:cs="Arial"/>
          <w:b/>
          <w:bCs/>
          <w:color w:val="000000"/>
          <w:sz w:val="22"/>
          <w:szCs w:val="22"/>
          <w:u w:val="single"/>
          <w:lang w:val="es-CO"/>
        </w:rPr>
        <w:t>establezca el Fondo</w:t>
      </w:r>
      <w:r w:rsidRPr="00382848">
        <w:rPr>
          <w:rFonts w:ascii="Arial" w:hAnsi="Arial" w:cs="Arial"/>
          <w:b/>
          <w:bCs/>
          <w:color w:val="000000"/>
          <w:sz w:val="22"/>
          <w:szCs w:val="22"/>
          <w:u w:val="single"/>
          <w:lang w:val="es-CO"/>
        </w:rPr>
        <w:t xml:space="preserve"> </w:t>
      </w:r>
      <w:r w:rsidR="008F1819" w:rsidRPr="00382848">
        <w:rPr>
          <w:rFonts w:ascii="Arial" w:hAnsi="Arial" w:cs="Arial"/>
          <w:b/>
          <w:bCs/>
          <w:color w:val="000000"/>
          <w:sz w:val="22"/>
          <w:szCs w:val="22"/>
          <w:u w:val="single"/>
          <w:lang w:val="es-CO"/>
        </w:rPr>
        <w:t xml:space="preserve">mediante </w:t>
      </w:r>
      <w:r w:rsidRPr="00382848">
        <w:rPr>
          <w:rFonts w:ascii="Arial" w:hAnsi="Arial" w:cs="Arial"/>
          <w:b/>
          <w:bCs/>
          <w:color w:val="000000"/>
          <w:sz w:val="22"/>
          <w:szCs w:val="22"/>
          <w:u w:val="single"/>
          <w:lang w:val="es-CO"/>
        </w:rPr>
        <w:t>Circular Externa</w:t>
      </w:r>
      <w:r w:rsidR="00FF56B4" w:rsidRPr="00382848">
        <w:rPr>
          <w:rFonts w:ascii="Arial" w:hAnsi="Arial" w:cs="Arial"/>
          <w:b/>
          <w:bCs/>
          <w:color w:val="000000"/>
          <w:sz w:val="22"/>
          <w:szCs w:val="22"/>
          <w:u w:val="single"/>
          <w:lang w:val="es-CO"/>
        </w:rPr>
        <w:t>. Para determina</w:t>
      </w:r>
      <w:r w:rsidR="008F1819" w:rsidRPr="00382848">
        <w:rPr>
          <w:rFonts w:ascii="Arial" w:hAnsi="Arial" w:cs="Arial"/>
          <w:b/>
          <w:bCs/>
          <w:color w:val="000000"/>
          <w:sz w:val="22"/>
          <w:szCs w:val="22"/>
          <w:u w:val="single"/>
          <w:lang w:val="es-CO"/>
        </w:rPr>
        <w:t>r esta calificación</w:t>
      </w:r>
      <w:r w:rsidR="00FE5A86" w:rsidRPr="00382848">
        <w:rPr>
          <w:rFonts w:ascii="Arial" w:hAnsi="Arial" w:cs="Arial"/>
          <w:b/>
          <w:bCs/>
          <w:color w:val="000000"/>
          <w:sz w:val="22"/>
          <w:szCs w:val="22"/>
          <w:u w:val="single"/>
          <w:lang w:val="es-CO"/>
        </w:rPr>
        <w:t>,</w:t>
      </w:r>
      <w:r w:rsidR="00FF56B4" w:rsidRPr="00382848">
        <w:rPr>
          <w:rFonts w:ascii="Arial" w:hAnsi="Arial" w:cs="Arial"/>
          <w:b/>
          <w:bCs/>
          <w:color w:val="000000"/>
          <w:sz w:val="22"/>
          <w:szCs w:val="22"/>
          <w:u w:val="single"/>
          <w:lang w:val="es-CO"/>
        </w:rPr>
        <w:t xml:space="preserve"> </w:t>
      </w:r>
      <w:r w:rsidRPr="00382848">
        <w:rPr>
          <w:rFonts w:ascii="Arial" w:hAnsi="Arial" w:cs="Arial"/>
          <w:b/>
          <w:bCs/>
          <w:color w:val="000000"/>
          <w:sz w:val="22"/>
          <w:szCs w:val="22"/>
          <w:u w:val="single"/>
          <w:lang w:val="es-CO"/>
        </w:rPr>
        <w:t>se u</w:t>
      </w:r>
      <w:r w:rsidR="00716849" w:rsidRPr="00382848">
        <w:rPr>
          <w:rFonts w:ascii="Arial" w:hAnsi="Arial" w:cs="Arial"/>
          <w:b/>
          <w:bCs/>
          <w:color w:val="000000"/>
          <w:sz w:val="22"/>
          <w:szCs w:val="22"/>
          <w:u w:val="single"/>
          <w:lang w:val="es-CO"/>
        </w:rPr>
        <w:t>tilizarán</w:t>
      </w:r>
      <w:r w:rsidRPr="00382848">
        <w:rPr>
          <w:rFonts w:ascii="Arial" w:hAnsi="Arial" w:cs="Arial"/>
          <w:b/>
          <w:bCs/>
          <w:color w:val="000000"/>
          <w:sz w:val="22"/>
          <w:szCs w:val="22"/>
          <w:u w:val="single"/>
          <w:lang w:val="es-CO"/>
        </w:rPr>
        <w:t xml:space="preserve"> los indicadores financieros y </w:t>
      </w:r>
      <w:r w:rsidR="00716849" w:rsidRPr="00382848">
        <w:rPr>
          <w:rFonts w:ascii="Arial" w:hAnsi="Arial" w:cs="Arial"/>
          <w:b/>
          <w:bCs/>
          <w:color w:val="000000"/>
          <w:sz w:val="22"/>
          <w:szCs w:val="22"/>
          <w:u w:val="single"/>
          <w:lang w:val="es-CO"/>
        </w:rPr>
        <w:t xml:space="preserve">los </w:t>
      </w:r>
      <w:r w:rsidRPr="00382848">
        <w:rPr>
          <w:rFonts w:ascii="Arial" w:hAnsi="Arial" w:cs="Arial"/>
          <w:b/>
          <w:bCs/>
          <w:color w:val="000000"/>
          <w:sz w:val="22"/>
          <w:szCs w:val="22"/>
          <w:u w:val="single"/>
          <w:lang w:val="es-CO"/>
        </w:rPr>
        <w:t>rangos de evaluación que se establecen a continuación:</w:t>
      </w:r>
    </w:p>
    <w:p w14:paraId="71A12612" w14:textId="77777777" w:rsidR="002B16B6" w:rsidRDefault="002B16B6" w:rsidP="007F2502">
      <w:pPr>
        <w:jc w:val="both"/>
        <w:rPr>
          <w:rFonts w:ascii="Arial" w:hAnsi="Arial" w:cs="Arial"/>
          <w:b/>
          <w:bCs/>
          <w:color w:val="000000" w:themeColor="text1"/>
          <w:sz w:val="22"/>
          <w:szCs w:val="22"/>
          <w:u w:val="single"/>
        </w:rPr>
      </w:pPr>
    </w:p>
    <w:p w14:paraId="49BD409F" w14:textId="77777777" w:rsidR="008D78B9" w:rsidRDefault="008D78B9" w:rsidP="007F2502">
      <w:pPr>
        <w:jc w:val="both"/>
        <w:rPr>
          <w:rFonts w:ascii="Arial" w:hAnsi="Arial" w:cs="Arial"/>
          <w:b/>
          <w:bCs/>
          <w:color w:val="000000" w:themeColor="text1"/>
          <w:sz w:val="22"/>
          <w:szCs w:val="22"/>
          <w:u w:val="single"/>
        </w:rPr>
      </w:pPr>
    </w:p>
    <w:p w14:paraId="466C4515" w14:textId="77777777" w:rsidR="008D78B9" w:rsidRPr="007D0749" w:rsidRDefault="008D78B9" w:rsidP="007F2502">
      <w:pPr>
        <w:jc w:val="both"/>
        <w:rPr>
          <w:rFonts w:ascii="Arial" w:hAnsi="Arial" w:cs="Arial"/>
          <w:b/>
          <w:bCs/>
          <w:color w:val="000000" w:themeColor="text1"/>
          <w:sz w:val="22"/>
          <w:szCs w:val="22"/>
          <w:u w:val="single"/>
        </w:rPr>
      </w:pPr>
    </w:p>
    <w:p w14:paraId="73A6D6C0" w14:textId="77777777" w:rsidR="007F2502" w:rsidRPr="008E51FF" w:rsidRDefault="007F2502" w:rsidP="007F2502">
      <w:pPr>
        <w:tabs>
          <w:tab w:val="left" w:pos="284"/>
        </w:tabs>
        <w:autoSpaceDE w:val="0"/>
        <w:autoSpaceDN w:val="0"/>
        <w:adjustRightInd w:val="0"/>
        <w:jc w:val="both"/>
        <w:rPr>
          <w:rFonts w:ascii="Arial" w:hAnsi="Arial" w:cs="Arial"/>
          <w:b/>
          <w:bCs/>
          <w:noProof/>
          <w:sz w:val="22"/>
          <w:szCs w:val="22"/>
          <w:u w:val="single"/>
          <w:lang w:val="es-CO" w:eastAsia="es-CO"/>
        </w:rPr>
      </w:pPr>
      <w:r w:rsidRPr="008E51FF">
        <w:rPr>
          <w:rFonts w:ascii="Arial" w:hAnsi="Arial" w:cs="Arial"/>
          <w:b/>
          <w:bCs/>
          <w:noProof/>
          <w:sz w:val="22"/>
          <w:szCs w:val="22"/>
          <w:u w:val="single"/>
          <w:lang w:val="es-CO" w:eastAsia="es-CO"/>
        </w:rPr>
        <w:lastRenderedPageBreak/>
        <w:t>Tabla 1. Indicadores financieros para SEDPES</w:t>
      </w:r>
    </w:p>
    <w:p w14:paraId="62898B85" w14:textId="2BF00372" w:rsidR="007F2502" w:rsidRPr="004B24C5" w:rsidRDefault="007F2502" w:rsidP="007F2502">
      <w:pPr>
        <w:jc w:val="both"/>
        <w:rPr>
          <w:rFonts w:ascii="Arial" w:hAnsi="Arial" w:cs="Arial"/>
          <w:b/>
          <w:bCs/>
          <w:color w:val="000000" w:themeColor="text1"/>
          <w:sz w:val="22"/>
          <w:szCs w:val="22"/>
          <w:u w:val="single"/>
        </w:rPr>
      </w:pPr>
    </w:p>
    <w:p w14:paraId="5DC5EE2F" w14:textId="77777777" w:rsidR="000D5C8F" w:rsidRDefault="000D5C8F" w:rsidP="007F2502">
      <w:pPr>
        <w:jc w:val="both"/>
        <w:rPr>
          <w:rFonts w:ascii="Arial" w:hAnsi="Arial" w:cs="Arial"/>
          <w:b/>
          <w:bCs/>
          <w:color w:val="000000" w:themeColor="text1"/>
          <w:sz w:val="22"/>
          <w:szCs w:val="22"/>
          <w:u w:val="single"/>
        </w:rPr>
      </w:pPr>
    </w:p>
    <w:tbl>
      <w:tblPr>
        <w:tblW w:w="9062" w:type="dxa"/>
        <w:tblCellMar>
          <w:left w:w="70" w:type="dxa"/>
          <w:right w:w="70" w:type="dxa"/>
        </w:tblCellMar>
        <w:tblLook w:val="04A0" w:firstRow="1" w:lastRow="0" w:firstColumn="1" w:lastColumn="0" w:noHBand="0" w:noVBand="1"/>
      </w:tblPr>
      <w:tblGrid>
        <w:gridCol w:w="3802"/>
        <w:gridCol w:w="3840"/>
        <w:gridCol w:w="1420"/>
      </w:tblGrid>
      <w:tr w:rsidR="00907811" w:rsidRPr="00682E5F" w14:paraId="000EE936" w14:textId="77777777" w:rsidTr="00C966FA">
        <w:trPr>
          <w:trHeight w:val="315"/>
        </w:trPr>
        <w:tc>
          <w:tcPr>
            <w:tcW w:w="3802" w:type="dxa"/>
            <w:tcBorders>
              <w:top w:val="single" w:sz="8" w:space="0" w:color="auto"/>
              <w:left w:val="single" w:sz="8" w:space="0" w:color="auto"/>
              <w:bottom w:val="single" w:sz="8" w:space="0" w:color="auto"/>
              <w:right w:val="single" w:sz="4" w:space="0" w:color="auto"/>
            </w:tcBorders>
            <w:noWrap/>
            <w:vAlign w:val="center"/>
            <w:hideMark/>
          </w:tcPr>
          <w:p w14:paraId="7F732A4F" w14:textId="77777777" w:rsidR="00907811" w:rsidRPr="00682E5F" w:rsidRDefault="00907811">
            <w:pPr>
              <w:jc w:val="center"/>
              <w:rPr>
                <w:rFonts w:ascii="Aptos Narrow" w:hAnsi="Aptos Narrow"/>
                <w:b/>
                <w:bCs/>
                <w:color w:val="000000"/>
                <w:sz w:val="22"/>
                <w:szCs w:val="22"/>
                <w:u w:val="single"/>
                <w:lang w:val="es-CO" w:eastAsia="es-CO"/>
              </w:rPr>
            </w:pPr>
            <w:r w:rsidRPr="00682E5F">
              <w:rPr>
                <w:rFonts w:ascii="Aptos Narrow" w:hAnsi="Aptos Narrow"/>
                <w:b/>
                <w:bCs/>
                <w:color w:val="000000"/>
                <w:sz w:val="22"/>
                <w:szCs w:val="22"/>
                <w:u w:val="single"/>
              </w:rPr>
              <w:t>Indicador</w:t>
            </w:r>
          </w:p>
        </w:tc>
        <w:tc>
          <w:tcPr>
            <w:tcW w:w="3840" w:type="dxa"/>
            <w:tcBorders>
              <w:top w:val="single" w:sz="8" w:space="0" w:color="auto"/>
              <w:left w:val="nil"/>
              <w:bottom w:val="single" w:sz="8" w:space="0" w:color="auto"/>
              <w:right w:val="single" w:sz="4" w:space="0" w:color="auto"/>
            </w:tcBorders>
            <w:noWrap/>
            <w:vAlign w:val="center"/>
            <w:hideMark/>
          </w:tcPr>
          <w:p w14:paraId="002B135C"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Rango de evaluación</w:t>
            </w:r>
          </w:p>
        </w:tc>
        <w:tc>
          <w:tcPr>
            <w:tcW w:w="1420" w:type="dxa"/>
            <w:tcBorders>
              <w:top w:val="single" w:sz="8" w:space="0" w:color="auto"/>
              <w:left w:val="nil"/>
              <w:bottom w:val="single" w:sz="8" w:space="0" w:color="auto"/>
              <w:right w:val="single" w:sz="8" w:space="0" w:color="auto"/>
            </w:tcBorders>
            <w:noWrap/>
            <w:vAlign w:val="center"/>
            <w:hideMark/>
          </w:tcPr>
          <w:p w14:paraId="0F92713D"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Puntuación</w:t>
            </w:r>
          </w:p>
        </w:tc>
      </w:tr>
      <w:tr w:rsidR="00907811" w:rsidRPr="00682E5F" w14:paraId="4722D1AB" w14:textId="77777777" w:rsidTr="00C966FA">
        <w:trPr>
          <w:trHeight w:val="300"/>
        </w:trPr>
        <w:tc>
          <w:tcPr>
            <w:tcW w:w="3802" w:type="dxa"/>
            <w:vMerge w:val="restart"/>
            <w:tcBorders>
              <w:top w:val="nil"/>
              <w:left w:val="single" w:sz="8" w:space="0" w:color="auto"/>
              <w:bottom w:val="single" w:sz="8" w:space="0" w:color="000000"/>
              <w:right w:val="single" w:sz="4" w:space="0" w:color="auto"/>
            </w:tcBorders>
            <w:vAlign w:val="center"/>
            <w:hideMark/>
          </w:tcPr>
          <w:p w14:paraId="5715795D" w14:textId="77777777" w:rsidR="00907811" w:rsidRPr="00682E5F" w:rsidRDefault="00907811">
            <w:pPr>
              <w:rPr>
                <w:rFonts w:ascii="Aptos Narrow" w:hAnsi="Aptos Narrow"/>
                <w:b/>
                <w:bCs/>
                <w:color w:val="000000"/>
                <w:sz w:val="22"/>
                <w:szCs w:val="22"/>
                <w:u w:val="single"/>
              </w:rPr>
            </w:pPr>
            <w:r w:rsidRPr="00682E5F">
              <w:rPr>
                <w:rFonts w:ascii="Aptos Narrow" w:hAnsi="Aptos Narrow"/>
                <w:b/>
                <w:bCs/>
                <w:color w:val="000000"/>
                <w:sz w:val="22"/>
                <w:szCs w:val="22"/>
                <w:u w:val="single"/>
              </w:rPr>
              <w:t>ROA</w:t>
            </w:r>
          </w:p>
        </w:tc>
        <w:tc>
          <w:tcPr>
            <w:tcW w:w="3840" w:type="dxa"/>
            <w:tcBorders>
              <w:top w:val="nil"/>
              <w:left w:val="nil"/>
              <w:bottom w:val="single" w:sz="4" w:space="0" w:color="auto"/>
              <w:right w:val="single" w:sz="4" w:space="0" w:color="auto"/>
            </w:tcBorders>
            <w:noWrap/>
            <w:vAlign w:val="center"/>
            <w:hideMark/>
          </w:tcPr>
          <w:p w14:paraId="6DDDD263"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&lt; 0%</w:t>
            </w:r>
          </w:p>
        </w:tc>
        <w:tc>
          <w:tcPr>
            <w:tcW w:w="1420" w:type="dxa"/>
            <w:tcBorders>
              <w:top w:val="nil"/>
              <w:left w:val="nil"/>
              <w:bottom w:val="single" w:sz="4" w:space="0" w:color="auto"/>
              <w:right w:val="single" w:sz="8" w:space="0" w:color="auto"/>
            </w:tcBorders>
            <w:noWrap/>
            <w:vAlign w:val="center"/>
            <w:hideMark/>
          </w:tcPr>
          <w:p w14:paraId="71DD0557"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1</w:t>
            </w:r>
          </w:p>
        </w:tc>
      </w:tr>
      <w:tr w:rsidR="00907811" w:rsidRPr="00682E5F" w14:paraId="3DD7E7E1"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1DD258BA"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29A2959D"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0% y &lt; 2,24%</w:t>
            </w:r>
          </w:p>
        </w:tc>
        <w:tc>
          <w:tcPr>
            <w:tcW w:w="1420" w:type="dxa"/>
            <w:tcBorders>
              <w:top w:val="nil"/>
              <w:left w:val="nil"/>
              <w:bottom w:val="single" w:sz="4" w:space="0" w:color="auto"/>
              <w:right w:val="single" w:sz="8" w:space="0" w:color="auto"/>
            </w:tcBorders>
            <w:noWrap/>
            <w:vAlign w:val="center"/>
            <w:hideMark/>
          </w:tcPr>
          <w:p w14:paraId="5D526ACB"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3</w:t>
            </w:r>
          </w:p>
        </w:tc>
      </w:tr>
      <w:tr w:rsidR="00907811" w:rsidRPr="00682E5F" w14:paraId="65563232" w14:textId="77777777" w:rsidTr="00C966FA">
        <w:trPr>
          <w:trHeight w:val="315"/>
        </w:trPr>
        <w:tc>
          <w:tcPr>
            <w:tcW w:w="3802" w:type="dxa"/>
            <w:vMerge/>
            <w:tcBorders>
              <w:top w:val="nil"/>
              <w:left w:val="single" w:sz="8" w:space="0" w:color="auto"/>
              <w:bottom w:val="single" w:sz="8" w:space="0" w:color="000000"/>
              <w:right w:val="single" w:sz="4" w:space="0" w:color="auto"/>
            </w:tcBorders>
            <w:vAlign w:val="center"/>
            <w:hideMark/>
          </w:tcPr>
          <w:p w14:paraId="1EE77F6D"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8" w:space="0" w:color="auto"/>
              <w:right w:val="single" w:sz="4" w:space="0" w:color="auto"/>
            </w:tcBorders>
            <w:noWrap/>
            <w:vAlign w:val="center"/>
            <w:hideMark/>
          </w:tcPr>
          <w:p w14:paraId="32104686"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2,24%</w:t>
            </w:r>
          </w:p>
        </w:tc>
        <w:tc>
          <w:tcPr>
            <w:tcW w:w="1420" w:type="dxa"/>
            <w:tcBorders>
              <w:top w:val="nil"/>
              <w:left w:val="nil"/>
              <w:bottom w:val="single" w:sz="8" w:space="0" w:color="auto"/>
              <w:right w:val="single" w:sz="8" w:space="0" w:color="auto"/>
            </w:tcBorders>
            <w:noWrap/>
            <w:vAlign w:val="center"/>
            <w:hideMark/>
          </w:tcPr>
          <w:p w14:paraId="356E58EC"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5</w:t>
            </w:r>
          </w:p>
        </w:tc>
      </w:tr>
      <w:tr w:rsidR="00907811" w:rsidRPr="00682E5F" w14:paraId="74B2BCB2" w14:textId="77777777" w:rsidTr="00C966FA">
        <w:trPr>
          <w:trHeight w:val="300"/>
        </w:trPr>
        <w:tc>
          <w:tcPr>
            <w:tcW w:w="3802" w:type="dxa"/>
            <w:vMerge w:val="restart"/>
            <w:tcBorders>
              <w:top w:val="nil"/>
              <w:left w:val="single" w:sz="8" w:space="0" w:color="auto"/>
              <w:bottom w:val="single" w:sz="8" w:space="0" w:color="000000"/>
              <w:right w:val="single" w:sz="4" w:space="0" w:color="auto"/>
            </w:tcBorders>
            <w:vAlign w:val="center"/>
            <w:hideMark/>
          </w:tcPr>
          <w:p w14:paraId="36D0878C" w14:textId="77777777" w:rsidR="00907811" w:rsidRPr="00682E5F" w:rsidRDefault="00907811">
            <w:pPr>
              <w:rPr>
                <w:rFonts w:ascii="Aptos Narrow" w:hAnsi="Aptos Narrow"/>
                <w:b/>
                <w:bCs/>
                <w:color w:val="000000"/>
                <w:sz w:val="22"/>
                <w:szCs w:val="22"/>
                <w:u w:val="single"/>
              </w:rPr>
            </w:pPr>
            <w:r w:rsidRPr="00682E5F">
              <w:rPr>
                <w:rFonts w:ascii="Aptos Narrow" w:hAnsi="Aptos Narrow"/>
                <w:b/>
                <w:bCs/>
                <w:color w:val="000000"/>
                <w:sz w:val="22"/>
                <w:szCs w:val="22"/>
                <w:u w:val="single"/>
              </w:rPr>
              <w:t>Concentración depositantes: Depósitos 5 depositantes más grandes/Pasivos totales</w:t>
            </w:r>
          </w:p>
        </w:tc>
        <w:tc>
          <w:tcPr>
            <w:tcW w:w="3840" w:type="dxa"/>
            <w:tcBorders>
              <w:top w:val="nil"/>
              <w:left w:val="nil"/>
              <w:bottom w:val="single" w:sz="4" w:space="0" w:color="auto"/>
              <w:right w:val="single" w:sz="4" w:space="0" w:color="auto"/>
            </w:tcBorders>
            <w:noWrap/>
            <w:vAlign w:val="center"/>
            <w:hideMark/>
          </w:tcPr>
          <w:p w14:paraId="78ECE876"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24,81%</w:t>
            </w:r>
          </w:p>
        </w:tc>
        <w:tc>
          <w:tcPr>
            <w:tcW w:w="1420" w:type="dxa"/>
            <w:tcBorders>
              <w:top w:val="nil"/>
              <w:left w:val="nil"/>
              <w:bottom w:val="single" w:sz="4" w:space="0" w:color="auto"/>
              <w:right w:val="single" w:sz="8" w:space="0" w:color="auto"/>
            </w:tcBorders>
            <w:noWrap/>
            <w:vAlign w:val="center"/>
            <w:hideMark/>
          </w:tcPr>
          <w:p w14:paraId="339EF892"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1</w:t>
            </w:r>
          </w:p>
        </w:tc>
      </w:tr>
      <w:tr w:rsidR="00907811" w:rsidRPr="00682E5F" w14:paraId="705ECDF2"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07FDF9B2"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3560CD0C"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6,83% y &lt;= 24,81%</w:t>
            </w:r>
          </w:p>
        </w:tc>
        <w:tc>
          <w:tcPr>
            <w:tcW w:w="1420" w:type="dxa"/>
            <w:tcBorders>
              <w:top w:val="nil"/>
              <w:left w:val="nil"/>
              <w:bottom w:val="single" w:sz="4" w:space="0" w:color="auto"/>
              <w:right w:val="single" w:sz="8" w:space="0" w:color="auto"/>
            </w:tcBorders>
            <w:noWrap/>
            <w:vAlign w:val="center"/>
            <w:hideMark/>
          </w:tcPr>
          <w:p w14:paraId="5DA725B7"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2</w:t>
            </w:r>
          </w:p>
        </w:tc>
      </w:tr>
      <w:tr w:rsidR="00907811" w:rsidRPr="00682E5F" w14:paraId="0E6815DF"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000FAF69"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74C8F13C"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2,47% y &lt;= 6,83%</w:t>
            </w:r>
          </w:p>
        </w:tc>
        <w:tc>
          <w:tcPr>
            <w:tcW w:w="1420" w:type="dxa"/>
            <w:tcBorders>
              <w:top w:val="nil"/>
              <w:left w:val="nil"/>
              <w:bottom w:val="single" w:sz="4" w:space="0" w:color="auto"/>
              <w:right w:val="single" w:sz="8" w:space="0" w:color="auto"/>
            </w:tcBorders>
            <w:noWrap/>
            <w:vAlign w:val="center"/>
            <w:hideMark/>
          </w:tcPr>
          <w:p w14:paraId="5BDB7D70"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3</w:t>
            </w:r>
          </w:p>
        </w:tc>
      </w:tr>
      <w:tr w:rsidR="00907811" w:rsidRPr="00682E5F" w14:paraId="2EFD21D6"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4A1BB9DE"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24B659C9"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0,39% y &lt;= 2,47%</w:t>
            </w:r>
          </w:p>
        </w:tc>
        <w:tc>
          <w:tcPr>
            <w:tcW w:w="1420" w:type="dxa"/>
            <w:tcBorders>
              <w:top w:val="nil"/>
              <w:left w:val="nil"/>
              <w:bottom w:val="single" w:sz="4" w:space="0" w:color="auto"/>
              <w:right w:val="single" w:sz="8" w:space="0" w:color="auto"/>
            </w:tcBorders>
            <w:noWrap/>
            <w:vAlign w:val="center"/>
            <w:hideMark/>
          </w:tcPr>
          <w:p w14:paraId="029F2939"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4</w:t>
            </w:r>
          </w:p>
        </w:tc>
      </w:tr>
      <w:tr w:rsidR="00907811" w:rsidRPr="00682E5F" w14:paraId="02A7C8DD" w14:textId="77777777" w:rsidTr="00C966FA">
        <w:trPr>
          <w:trHeight w:val="315"/>
        </w:trPr>
        <w:tc>
          <w:tcPr>
            <w:tcW w:w="3802" w:type="dxa"/>
            <w:vMerge/>
            <w:tcBorders>
              <w:top w:val="nil"/>
              <w:left w:val="single" w:sz="8" w:space="0" w:color="auto"/>
              <w:bottom w:val="single" w:sz="8" w:space="0" w:color="000000"/>
              <w:right w:val="single" w:sz="4" w:space="0" w:color="auto"/>
            </w:tcBorders>
            <w:vAlign w:val="center"/>
            <w:hideMark/>
          </w:tcPr>
          <w:p w14:paraId="4007D614"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8" w:space="0" w:color="auto"/>
              <w:right w:val="single" w:sz="4" w:space="0" w:color="auto"/>
            </w:tcBorders>
            <w:noWrap/>
            <w:vAlign w:val="center"/>
            <w:hideMark/>
          </w:tcPr>
          <w:p w14:paraId="07AC84C0"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&lt;= 0,39%</w:t>
            </w:r>
          </w:p>
        </w:tc>
        <w:tc>
          <w:tcPr>
            <w:tcW w:w="1420" w:type="dxa"/>
            <w:tcBorders>
              <w:top w:val="nil"/>
              <w:left w:val="nil"/>
              <w:bottom w:val="single" w:sz="8" w:space="0" w:color="auto"/>
              <w:right w:val="single" w:sz="8" w:space="0" w:color="auto"/>
            </w:tcBorders>
            <w:noWrap/>
            <w:vAlign w:val="center"/>
            <w:hideMark/>
          </w:tcPr>
          <w:p w14:paraId="006D782B"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5</w:t>
            </w:r>
          </w:p>
        </w:tc>
      </w:tr>
      <w:tr w:rsidR="00907811" w:rsidRPr="00682E5F" w14:paraId="7C6929D6" w14:textId="77777777" w:rsidTr="00C966FA">
        <w:trPr>
          <w:trHeight w:val="300"/>
        </w:trPr>
        <w:tc>
          <w:tcPr>
            <w:tcW w:w="3802" w:type="dxa"/>
            <w:vMerge w:val="restart"/>
            <w:tcBorders>
              <w:top w:val="nil"/>
              <w:left w:val="single" w:sz="8" w:space="0" w:color="auto"/>
              <w:bottom w:val="single" w:sz="8" w:space="0" w:color="000000"/>
              <w:right w:val="single" w:sz="4" w:space="0" w:color="auto"/>
            </w:tcBorders>
            <w:vAlign w:val="center"/>
            <w:hideMark/>
          </w:tcPr>
          <w:p w14:paraId="79D18573" w14:textId="77777777" w:rsidR="00907811" w:rsidRPr="00682E5F" w:rsidRDefault="00907811">
            <w:pPr>
              <w:rPr>
                <w:rFonts w:ascii="Aptos Narrow" w:hAnsi="Aptos Narrow"/>
                <w:b/>
                <w:bCs/>
                <w:color w:val="000000"/>
                <w:sz w:val="22"/>
                <w:szCs w:val="22"/>
                <w:u w:val="single"/>
              </w:rPr>
            </w:pPr>
            <w:r w:rsidRPr="00682E5F">
              <w:rPr>
                <w:rFonts w:ascii="Aptos Narrow" w:hAnsi="Aptos Narrow"/>
                <w:b/>
                <w:bCs/>
                <w:color w:val="000000"/>
                <w:sz w:val="22"/>
                <w:szCs w:val="22"/>
                <w:u w:val="single"/>
              </w:rPr>
              <w:t>Concentración de depósitos en Establecimientos de Crédito (EC): Concentración de saldos de depósitos en EC, según calificación crediticia</w:t>
            </w:r>
          </w:p>
        </w:tc>
        <w:tc>
          <w:tcPr>
            <w:tcW w:w="3840" w:type="dxa"/>
            <w:tcBorders>
              <w:top w:val="nil"/>
              <w:left w:val="nil"/>
              <w:bottom w:val="single" w:sz="4" w:space="0" w:color="auto"/>
              <w:right w:val="single" w:sz="4" w:space="0" w:color="auto"/>
            </w:tcBorders>
            <w:noWrap/>
            <w:vAlign w:val="center"/>
            <w:hideMark/>
          </w:tcPr>
          <w:p w14:paraId="75F976D5"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Calificación contraparte &lt; A4 / entidades no identificadas</w:t>
            </w:r>
          </w:p>
        </w:tc>
        <w:tc>
          <w:tcPr>
            <w:tcW w:w="1420" w:type="dxa"/>
            <w:tcBorders>
              <w:top w:val="nil"/>
              <w:left w:val="nil"/>
              <w:bottom w:val="single" w:sz="4" w:space="0" w:color="auto"/>
              <w:right w:val="single" w:sz="8" w:space="0" w:color="auto"/>
            </w:tcBorders>
            <w:noWrap/>
            <w:vAlign w:val="center"/>
            <w:hideMark/>
          </w:tcPr>
          <w:p w14:paraId="7E50CA2D"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1</w:t>
            </w:r>
          </w:p>
        </w:tc>
      </w:tr>
      <w:tr w:rsidR="00907811" w:rsidRPr="00682E5F" w14:paraId="35DBA8A9"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697702EE"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15B85EF9"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Calificación contraparte A4</w:t>
            </w:r>
          </w:p>
        </w:tc>
        <w:tc>
          <w:tcPr>
            <w:tcW w:w="1420" w:type="dxa"/>
            <w:tcBorders>
              <w:top w:val="nil"/>
              <w:left w:val="nil"/>
              <w:bottom w:val="single" w:sz="4" w:space="0" w:color="auto"/>
              <w:right w:val="single" w:sz="8" w:space="0" w:color="auto"/>
            </w:tcBorders>
            <w:noWrap/>
            <w:vAlign w:val="center"/>
            <w:hideMark/>
          </w:tcPr>
          <w:p w14:paraId="5D202942"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2</w:t>
            </w:r>
          </w:p>
        </w:tc>
      </w:tr>
      <w:tr w:rsidR="00907811" w:rsidRPr="00682E5F" w14:paraId="56C7F142"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46E23383"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6EDEF371"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Calificación contraparte A3</w:t>
            </w:r>
          </w:p>
        </w:tc>
        <w:tc>
          <w:tcPr>
            <w:tcW w:w="1420" w:type="dxa"/>
            <w:tcBorders>
              <w:top w:val="nil"/>
              <w:left w:val="nil"/>
              <w:bottom w:val="single" w:sz="4" w:space="0" w:color="auto"/>
              <w:right w:val="single" w:sz="8" w:space="0" w:color="auto"/>
            </w:tcBorders>
            <w:noWrap/>
            <w:vAlign w:val="center"/>
            <w:hideMark/>
          </w:tcPr>
          <w:p w14:paraId="7A2E217F"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3</w:t>
            </w:r>
          </w:p>
        </w:tc>
      </w:tr>
      <w:tr w:rsidR="00907811" w:rsidRPr="00682E5F" w14:paraId="0511850A"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4F7F4F03"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6206FE5B"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Calificación contraparte A2</w:t>
            </w:r>
          </w:p>
        </w:tc>
        <w:tc>
          <w:tcPr>
            <w:tcW w:w="1420" w:type="dxa"/>
            <w:tcBorders>
              <w:top w:val="nil"/>
              <w:left w:val="nil"/>
              <w:bottom w:val="single" w:sz="4" w:space="0" w:color="auto"/>
              <w:right w:val="single" w:sz="8" w:space="0" w:color="auto"/>
            </w:tcBorders>
            <w:noWrap/>
            <w:vAlign w:val="center"/>
            <w:hideMark/>
          </w:tcPr>
          <w:p w14:paraId="4158C1D9"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4</w:t>
            </w:r>
          </w:p>
        </w:tc>
      </w:tr>
      <w:tr w:rsidR="00907811" w:rsidRPr="00682E5F" w14:paraId="7465A33E" w14:textId="77777777" w:rsidTr="00C966FA">
        <w:trPr>
          <w:trHeight w:val="315"/>
        </w:trPr>
        <w:tc>
          <w:tcPr>
            <w:tcW w:w="3802" w:type="dxa"/>
            <w:vMerge/>
            <w:tcBorders>
              <w:top w:val="nil"/>
              <w:left w:val="single" w:sz="8" w:space="0" w:color="auto"/>
              <w:bottom w:val="single" w:sz="8" w:space="0" w:color="000000"/>
              <w:right w:val="single" w:sz="4" w:space="0" w:color="auto"/>
            </w:tcBorders>
            <w:vAlign w:val="center"/>
            <w:hideMark/>
          </w:tcPr>
          <w:p w14:paraId="0C2996FE"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8" w:space="0" w:color="auto"/>
              <w:right w:val="single" w:sz="4" w:space="0" w:color="auto"/>
            </w:tcBorders>
            <w:noWrap/>
            <w:vAlign w:val="center"/>
            <w:hideMark/>
          </w:tcPr>
          <w:p w14:paraId="32925741"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Calificación contraparte A1 / Banco de la República</w:t>
            </w:r>
          </w:p>
        </w:tc>
        <w:tc>
          <w:tcPr>
            <w:tcW w:w="1420" w:type="dxa"/>
            <w:tcBorders>
              <w:top w:val="nil"/>
              <w:left w:val="nil"/>
              <w:bottom w:val="single" w:sz="8" w:space="0" w:color="auto"/>
              <w:right w:val="single" w:sz="8" w:space="0" w:color="auto"/>
            </w:tcBorders>
            <w:noWrap/>
            <w:vAlign w:val="center"/>
            <w:hideMark/>
          </w:tcPr>
          <w:p w14:paraId="332A2F4E"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5</w:t>
            </w:r>
          </w:p>
        </w:tc>
      </w:tr>
      <w:tr w:rsidR="00907811" w:rsidRPr="00682E5F" w14:paraId="04D42A17" w14:textId="77777777" w:rsidTr="00C966FA">
        <w:trPr>
          <w:trHeight w:val="300"/>
        </w:trPr>
        <w:tc>
          <w:tcPr>
            <w:tcW w:w="3802" w:type="dxa"/>
            <w:vMerge w:val="restart"/>
            <w:tcBorders>
              <w:top w:val="nil"/>
              <w:left w:val="single" w:sz="8" w:space="0" w:color="auto"/>
              <w:bottom w:val="single" w:sz="8" w:space="0" w:color="000000"/>
              <w:right w:val="single" w:sz="4" w:space="0" w:color="auto"/>
            </w:tcBorders>
            <w:vAlign w:val="center"/>
            <w:hideMark/>
          </w:tcPr>
          <w:p w14:paraId="7A346E8A" w14:textId="77777777" w:rsidR="00907811" w:rsidRPr="00682E5F" w:rsidRDefault="00907811">
            <w:pPr>
              <w:rPr>
                <w:rFonts w:ascii="Aptos Narrow" w:hAnsi="Aptos Narrow"/>
                <w:b/>
                <w:bCs/>
                <w:color w:val="000000"/>
                <w:sz w:val="22"/>
                <w:szCs w:val="22"/>
                <w:u w:val="single"/>
              </w:rPr>
            </w:pPr>
            <w:r w:rsidRPr="00682E5F">
              <w:rPr>
                <w:rFonts w:ascii="Aptos Narrow" w:hAnsi="Aptos Narrow"/>
                <w:b/>
                <w:bCs/>
                <w:color w:val="000000"/>
                <w:sz w:val="22"/>
                <w:szCs w:val="22"/>
                <w:u w:val="single"/>
              </w:rPr>
              <w:t>Calificación componente Auditoría Interna del Marco Integral de Supervisión (Superintendencia Financiera de Colombia)</w:t>
            </w:r>
          </w:p>
        </w:tc>
        <w:tc>
          <w:tcPr>
            <w:tcW w:w="3840" w:type="dxa"/>
            <w:tcBorders>
              <w:top w:val="nil"/>
              <w:left w:val="nil"/>
              <w:bottom w:val="single" w:sz="4" w:space="0" w:color="auto"/>
              <w:right w:val="single" w:sz="4" w:space="0" w:color="auto"/>
            </w:tcBorders>
            <w:noWrap/>
            <w:vAlign w:val="center"/>
            <w:hideMark/>
          </w:tcPr>
          <w:p w14:paraId="4881AF6D"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Débil</w:t>
            </w:r>
          </w:p>
        </w:tc>
        <w:tc>
          <w:tcPr>
            <w:tcW w:w="1420" w:type="dxa"/>
            <w:tcBorders>
              <w:top w:val="nil"/>
              <w:left w:val="nil"/>
              <w:bottom w:val="single" w:sz="4" w:space="0" w:color="auto"/>
              <w:right w:val="single" w:sz="8" w:space="0" w:color="auto"/>
            </w:tcBorders>
            <w:noWrap/>
            <w:vAlign w:val="center"/>
            <w:hideMark/>
          </w:tcPr>
          <w:p w14:paraId="3233B5DA"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1</w:t>
            </w:r>
          </w:p>
        </w:tc>
      </w:tr>
      <w:tr w:rsidR="00907811" w:rsidRPr="00682E5F" w14:paraId="6F154E68"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5A5F692E"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1952E5BA"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Necesita mejorar</w:t>
            </w:r>
          </w:p>
        </w:tc>
        <w:tc>
          <w:tcPr>
            <w:tcW w:w="1420" w:type="dxa"/>
            <w:tcBorders>
              <w:top w:val="nil"/>
              <w:left w:val="nil"/>
              <w:bottom w:val="single" w:sz="4" w:space="0" w:color="auto"/>
              <w:right w:val="single" w:sz="8" w:space="0" w:color="auto"/>
            </w:tcBorders>
            <w:noWrap/>
            <w:vAlign w:val="center"/>
            <w:hideMark/>
          </w:tcPr>
          <w:p w14:paraId="1C43C626"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3</w:t>
            </w:r>
          </w:p>
        </w:tc>
      </w:tr>
      <w:tr w:rsidR="00907811" w:rsidRPr="00682E5F" w14:paraId="71AEFF62"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1F6DEB3D"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56E63596"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Adecuado</w:t>
            </w:r>
          </w:p>
        </w:tc>
        <w:tc>
          <w:tcPr>
            <w:tcW w:w="1420" w:type="dxa"/>
            <w:tcBorders>
              <w:top w:val="nil"/>
              <w:left w:val="nil"/>
              <w:bottom w:val="single" w:sz="4" w:space="0" w:color="auto"/>
              <w:right w:val="single" w:sz="8" w:space="0" w:color="auto"/>
            </w:tcBorders>
            <w:noWrap/>
            <w:vAlign w:val="center"/>
            <w:hideMark/>
          </w:tcPr>
          <w:p w14:paraId="58A29EB2"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4</w:t>
            </w:r>
          </w:p>
        </w:tc>
      </w:tr>
      <w:tr w:rsidR="00907811" w:rsidRPr="00682E5F" w14:paraId="1CCC1FC9" w14:textId="77777777" w:rsidTr="00C966FA">
        <w:trPr>
          <w:trHeight w:val="315"/>
        </w:trPr>
        <w:tc>
          <w:tcPr>
            <w:tcW w:w="3802" w:type="dxa"/>
            <w:vMerge/>
            <w:tcBorders>
              <w:top w:val="nil"/>
              <w:left w:val="single" w:sz="8" w:space="0" w:color="auto"/>
              <w:bottom w:val="single" w:sz="8" w:space="0" w:color="000000"/>
              <w:right w:val="single" w:sz="4" w:space="0" w:color="auto"/>
            </w:tcBorders>
            <w:vAlign w:val="center"/>
            <w:hideMark/>
          </w:tcPr>
          <w:p w14:paraId="618841F1"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8" w:space="0" w:color="auto"/>
              <w:right w:val="single" w:sz="4" w:space="0" w:color="auto"/>
            </w:tcBorders>
            <w:noWrap/>
            <w:vAlign w:val="center"/>
            <w:hideMark/>
          </w:tcPr>
          <w:p w14:paraId="4356B7C2"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Fuerte</w:t>
            </w:r>
          </w:p>
        </w:tc>
        <w:tc>
          <w:tcPr>
            <w:tcW w:w="1420" w:type="dxa"/>
            <w:tcBorders>
              <w:top w:val="nil"/>
              <w:left w:val="nil"/>
              <w:bottom w:val="single" w:sz="8" w:space="0" w:color="auto"/>
              <w:right w:val="single" w:sz="8" w:space="0" w:color="auto"/>
            </w:tcBorders>
            <w:noWrap/>
            <w:vAlign w:val="center"/>
            <w:hideMark/>
          </w:tcPr>
          <w:p w14:paraId="70D454F5"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5</w:t>
            </w:r>
          </w:p>
        </w:tc>
      </w:tr>
      <w:tr w:rsidR="00907811" w:rsidRPr="00682E5F" w14:paraId="515B5F1E" w14:textId="77777777" w:rsidTr="00C966FA">
        <w:trPr>
          <w:trHeight w:val="300"/>
        </w:trPr>
        <w:tc>
          <w:tcPr>
            <w:tcW w:w="3802" w:type="dxa"/>
            <w:vMerge w:val="restart"/>
            <w:tcBorders>
              <w:top w:val="nil"/>
              <w:left w:val="single" w:sz="8" w:space="0" w:color="auto"/>
              <w:bottom w:val="single" w:sz="8" w:space="0" w:color="000000"/>
              <w:right w:val="single" w:sz="4" w:space="0" w:color="auto"/>
            </w:tcBorders>
            <w:vAlign w:val="center"/>
            <w:hideMark/>
          </w:tcPr>
          <w:p w14:paraId="5DEC2155" w14:textId="77777777" w:rsidR="00907811" w:rsidRPr="00682E5F" w:rsidRDefault="00907811">
            <w:pPr>
              <w:rPr>
                <w:rFonts w:ascii="Aptos Narrow" w:hAnsi="Aptos Narrow"/>
                <w:b/>
                <w:bCs/>
                <w:color w:val="000000"/>
                <w:sz w:val="22"/>
                <w:szCs w:val="22"/>
                <w:u w:val="single"/>
              </w:rPr>
            </w:pPr>
            <w:r w:rsidRPr="00682E5F">
              <w:rPr>
                <w:rFonts w:ascii="Aptos Narrow" w:hAnsi="Aptos Narrow"/>
                <w:b/>
                <w:bCs/>
                <w:color w:val="000000"/>
                <w:sz w:val="22"/>
                <w:szCs w:val="22"/>
                <w:u w:val="single"/>
              </w:rPr>
              <w:t>Gasto por riesgo operativo / patrimonio</w:t>
            </w:r>
          </w:p>
        </w:tc>
        <w:tc>
          <w:tcPr>
            <w:tcW w:w="3840" w:type="dxa"/>
            <w:tcBorders>
              <w:top w:val="nil"/>
              <w:left w:val="nil"/>
              <w:bottom w:val="single" w:sz="4" w:space="0" w:color="auto"/>
              <w:right w:val="single" w:sz="4" w:space="0" w:color="auto"/>
            </w:tcBorders>
            <w:noWrap/>
            <w:vAlign w:val="center"/>
            <w:hideMark/>
          </w:tcPr>
          <w:p w14:paraId="46C7A660"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5,84%</w:t>
            </w:r>
          </w:p>
        </w:tc>
        <w:tc>
          <w:tcPr>
            <w:tcW w:w="1420" w:type="dxa"/>
            <w:tcBorders>
              <w:top w:val="nil"/>
              <w:left w:val="nil"/>
              <w:bottom w:val="single" w:sz="4" w:space="0" w:color="auto"/>
              <w:right w:val="single" w:sz="8" w:space="0" w:color="auto"/>
            </w:tcBorders>
            <w:noWrap/>
            <w:vAlign w:val="center"/>
            <w:hideMark/>
          </w:tcPr>
          <w:p w14:paraId="74468B50"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1</w:t>
            </w:r>
          </w:p>
        </w:tc>
      </w:tr>
      <w:tr w:rsidR="00907811" w:rsidRPr="00682E5F" w14:paraId="59B57C14"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395CE0D5"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3B2A2A8A"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3,18% y &lt;= 5,84%</w:t>
            </w:r>
          </w:p>
        </w:tc>
        <w:tc>
          <w:tcPr>
            <w:tcW w:w="1420" w:type="dxa"/>
            <w:tcBorders>
              <w:top w:val="nil"/>
              <w:left w:val="nil"/>
              <w:bottom w:val="single" w:sz="4" w:space="0" w:color="auto"/>
              <w:right w:val="single" w:sz="8" w:space="0" w:color="auto"/>
            </w:tcBorders>
            <w:noWrap/>
            <w:vAlign w:val="center"/>
            <w:hideMark/>
          </w:tcPr>
          <w:p w14:paraId="5BAEBDD5"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2</w:t>
            </w:r>
          </w:p>
        </w:tc>
      </w:tr>
      <w:tr w:rsidR="00907811" w:rsidRPr="00682E5F" w14:paraId="4A0775AE"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2265F418"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3C51F49E"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0,63% y &lt;= 3,18%</w:t>
            </w:r>
          </w:p>
        </w:tc>
        <w:tc>
          <w:tcPr>
            <w:tcW w:w="1420" w:type="dxa"/>
            <w:tcBorders>
              <w:top w:val="nil"/>
              <w:left w:val="nil"/>
              <w:bottom w:val="single" w:sz="4" w:space="0" w:color="auto"/>
              <w:right w:val="single" w:sz="8" w:space="0" w:color="auto"/>
            </w:tcBorders>
            <w:noWrap/>
            <w:vAlign w:val="center"/>
            <w:hideMark/>
          </w:tcPr>
          <w:p w14:paraId="2F221835"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3</w:t>
            </w:r>
          </w:p>
        </w:tc>
      </w:tr>
      <w:tr w:rsidR="00907811" w:rsidRPr="00682E5F" w14:paraId="22BE663E" w14:textId="77777777" w:rsidTr="00C966FA">
        <w:trPr>
          <w:trHeight w:val="300"/>
        </w:trPr>
        <w:tc>
          <w:tcPr>
            <w:tcW w:w="3802" w:type="dxa"/>
            <w:vMerge/>
            <w:tcBorders>
              <w:top w:val="nil"/>
              <w:left w:val="single" w:sz="8" w:space="0" w:color="auto"/>
              <w:bottom w:val="single" w:sz="8" w:space="0" w:color="000000"/>
              <w:right w:val="single" w:sz="4" w:space="0" w:color="auto"/>
            </w:tcBorders>
            <w:vAlign w:val="center"/>
            <w:hideMark/>
          </w:tcPr>
          <w:p w14:paraId="1B3A788B"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4" w:space="0" w:color="auto"/>
              <w:right w:val="single" w:sz="4" w:space="0" w:color="auto"/>
            </w:tcBorders>
            <w:noWrap/>
            <w:vAlign w:val="center"/>
            <w:hideMark/>
          </w:tcPr>
          <w:p w14:paraId="2D2F284A"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&gt; 0% y &lt;= 0,63%</w:t>
            </w:r>
          </w:p>
        </w:tc>
        <w:tc>
          <w:tcPr>
            <w:tcW w:w="1420" w:type="dxa"/>
            <w:tcBorders>
              <w:top w:val="nil"/>
              <w:left w:val="nil"/>
              <w:bottom w:val="single" w:sz="4" w:space="0" w:color="auto"/>
              <w:right w:val="single" w:sz="8" w:space="0" w:color="auto"/>
            </w:tcBorders>
            <w:noWrap/>
            <w:vAlign w:val="center"/>
            <w:hideMark/>
          </w:tcPr>
          <w:p w14:paraId="052976C7"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4</w:t>
            </w:r>
          </w:p>
        </w:tc>
      </w:tr>
      <w:tr w:rsidR="00907811" w:rsidRPr="00682E5F" w14:paraId="45C98873" w14:textId="77777777" w:rsidTr="00C966FA">
        <w:trPr>
          <w:trHeight w:val="315"/>
        </w:trPr>
        <w:tc>
          <w:tcPr>
            <w:tcW w:w="3802" w:type="dxa"/>
            <w:vMerge/>
            <w:tcBorders>
              <w:top w:val="nil"/>
              <w:left w:val="single" w:sz="8" w:space="0" w:color="auto"/>
              <w:bottom w:val="single" w:sz="8" w:space="0" w:color="000000"/>
              <w:right w:val="single" w:sz="4" w:space="0" w:color="auto"/>
            </w:tcBorders>
            <w:vAlign w:val="center"/>
            <w:hideMark/>
          </w:tcPr>
          <w:p w14:paraId="7D6529F8" w14:textId="77777777" w:rsidR="00907811" w:rsidRPr="00682E5F" w:rsidRDefault="00907811">
            <w:pPr>
              <w:rPr>
                <w:rFonts w:ascii="Aptos Narrow" w:hAnsi="Aptos Narrow"/>
                <w:b/>
                <w:bCs/>
                <w:color w:val="000000"/>
                <w:sz w:val="22"/>
                <w:szCs w:val="22"/>
                <w:u w:val="single"/>
              </w:rPr>
            </w:pPr>
          </w:p>
        </w:tc>
        <w:tc>
          <w:tcPr>
            <w:tcW w:w="3840" w:type="dxa"/>
            <w:tcBorders>
              <w:top w:val="nil"/>
              <w:left w:val="nil"/>
              <w:bottom w:val="single" w:sz="8" w:space="0" w:color="auto"/>
              <w:right w:val="single" w:sz="4" w:space="0" w:color="auto"/>
            </w:tcBorders>
            <w:noWrap/>
            <w:vAlign w:val="center"/>
            <w:hideMark/>
          </w:tcPr>
          <w:p w14:paraId="2D07F9F1" w14:textId="77777777" w:rsidR="00907811" w:rsidRPr="00682E5F" w:rsidRDefault="00907811">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&lt;= 0%</w:t>
            </w:r>
          </w:p>
        </w:tc>
        <w:tc>
          <w:tcPr>
            <w:tcW w:w="1420" w:type="dxa"/>
            <w:tcBorders>
              <w:top w:val="nil"/>
              <w:left w:val="nil"/>
              <w:bottom w:val="single" w:sz="8" w:space="0" w:color="auto"/>
              <w:right w:val="single" w:sz="8" w:space="0" w:color="auto"/>
            </w:tcBorders>
            <w:noWrap/>
            <w:vAlign w:val="center"/>
            <w:hideMark/>
          </w:tcPr>
          <w:p w14:paraId="260C6D4A" w14:textId="77777777" w:rsidR="00907811" w:rsidRPr="00682E5F" w:rsidRDefault="00907811" w:rsidP="00667B1B">
            <w:pPr>
              <w:jc w:val="center"/>
              <w:rPr>
                <w:rFonts w:ascii="Aptos Narrow" w:hAnsi="Aptos Narrow"/>
                <w:b/>
                <w:bCs/>
                <w:color w:val="000000"/>
                <w:sz w:val="22"/>
                <w:szCs w:val="22"/>
                <w:u w:val="single"/>
              </w:rPr>
            </w:pPr>
            <w:r w:rsidRPr="00682E5F">
              <w:rPr>
                <w:rFonts w:ascii="Aptos Narrow" w:hAnsi="Aptos Narrow"/>
                <w:b/>
                <w:bCs/>
                <w:color w:val="000000"/>
                <w:sz w:val="22"/>
                <w:szCs w:val="22"/>
                <w:u w:val="single"/>
              </w:rPr>
              <w:t>5</w:t>
            </w:r>
          </w:p>
        </w:tc>
      </w:tr>
    </w:tbl>
    <w:p w14:paraId="184C125E" w14:textId="77777777" w:rsidR="000510CD" w:rsidRDefault="000510CD" w:rsidP="007F2502">
      <w:pPr>
        <w:jc w:val="both"/>
        <w:rPr>
          <w:rFonts w:ascii="Arial" w:hAnsi="Arial" w:cs="Arial"/>
          <w:color w:val="000000" w:themeColor="text1"/>
          <w:sz w:val="22"/>
          <w:szCs w:val="22"/>
        </w:rPr>
      </w:pPr>
    </w:p>
    <w:p w14:paraId="5FB5DFA2" w14:textId="4036123B" w:rsidR="0069591F" w:rsidRPr="001C7690" w:rsidRDefault="0069591F" w:rsidP="007F2502">
      <w:pPr>
        <w:jc w:val="both"/>
        <w:rPr>
          <w:rFonts w:ascii="Arial" w:hAnsi="Arial" w:cs="Arial"/>
          <w:b/>
          <w:bCs/>
          <w:color w:val="000000" w:themeColor="text1"/>
          <w:sz w:val="22"/>
          <w:szCs w:val="22"/>
          <w:u w:val="single"/>
        </w:rPr>
      </w:pPr>
      <w:r w:rsidRPr="001C7690">
        <w:rPr>
          <w:rFonts w:ascii="Arial" w:hAnsi="Arial" w:cs="Arial"/>
          <w:b/>
          <w:bCs/>
          <w:color w:val="000000" w:themeColor="text1"/>
          <w:sz w:val="22"/>
          <w:szCs w:val="22"/>
          <w:u w:val="single"/>
        </w:rPr>
        <w:t xml:space="preserve">La calificación de riesgo (CR) de cada entidad </w:t>
      </w:r>
      <w:r w:rsidR="00E859C3" w:rsidRPr="001C7690">
        <w:rPr>
          <w:rFonts w:ascii="Arial" w:hAnsi="Arial" w:cs="Arial"/>
          <w:b/>
          <w:bCs/>
          <w:color w:val="000000" w:themeColor="text1"/>
          <w:sz w:val="22"/>
          <w:szCs w:val="22"/>
          <w:u w:val="single"/>
        </w:rPr>
        <w:t>corresponderá al</w:t>
      </w:r>
      <w:r w:rsidRPr="001C7690">
        <w:rPr>
          <w:rFonts w:ascii="Arial" w:hAnsi="Arial" w:cs="Arial"/>
          <w:b/>
          <w:bCs/>
          <w:color w:val="000000" w:themeColor="text1"/>
          <w:sz w:val="22"/>
          <w:szCs w:val="22"/>
          <w:u w:val="single"/>
        </w:rPr>
        <w:t xml:space="preserve"> promedio simple de las calificaciones mensuales </w:t>
      </w:r>
      <w:r w:rsidR="00751BDB" w:rsidRPr="001C7690">
        <w:rPr>
          <w:rFonts w:ascii="Arial" w:hAnsi="Arial" w:cs="Arial"/>
          <w:b/>
          <w:bCs/>
          <w:color w:val="000000" w:themeColor="text1"/>
          <w:sz w:val="22"/>
          <w:szCs w:val="22"/>
          <w:u w:val="single"/>
        </w:rPr>
        <w:t xml:space="preserve">obtenidas durante </w:t>
      </w:r>
      <w:r w:rsidRPr="001C7690">
        <w:rPr>
          <w:rFonts w:ascii="Arial" w:hAnsi="Arial" w:cs="Arial"/>
          <w:b/>
          <w:bCs/>
          <w:color w:val="000000" w:themeColor="text1"/>
          <w:sz w:val="22"/>
          <w:szCs w:val="22"/>
          <w:u w:val="single"/>
        </w:rPr>
        <w:t xml:space="preserve">el trimestre </w:t>
      </w:r>
      <w:r w:rsidR="00751BDB" w:rsidRPr="001C7690">
        <w:rPr>
          <w:rFonts w:ascii="Arial" w:hAnsi="Arial" w:cs="Arial"/>
          <w:b/>
          <w:bCs/>
          <w:color w:val="000000" w:themeColor="text1"/>
          <w:sz w:val="22"/>
          <w:szCs w:val="22"/>
          <w:u w:val="single"/>
        </w:rPr>
        <w:t xml:space="preserve">objeto </w:t>
      </w:r>
      <w:r w:rsidRPr="001C7690">
        <w:rPr>
          <w:rFonts w:ascii="Arial" w:hAnsi="Arial" w:cs="Arial"/>
          <w:b/>
          <w:bCs/>
          <w:color w:val="000000" w:themeColor="text1"/>
          <w:sz w:val="22"/>
          <w:szCs w:val="22"/>
          <w:u w:val="single"/>
        </w:rPr>
        <w:t>de análisis</w:t>
      </w:r>
      <w:r w:rsidR="00751BDB" w:rsidRPr="001C7690">
        <w:rPr>
          <w:rFonts w:ascii="Arial" w:hAnsi="Arial" w:cs="Arial"/>
          <w:b/>
          <w:bCs/>
          <w:color w:val="000000" w:themeColor="text1"/>
          <w:sz w:val="22"/>
          <w:szCs w:val="22"/>
          <w:u w:val="single"/>
        </w:rPr>
        <w:t xml:space="preserve">. Cada calificación </w:t>
      </w:r>
      <w:r w:rsidR="00E5496A" w:rsidRPr="001C7690">
        <w:rPr>
          <w:rFonts w:ascii="Arial" w:hAnsi="Arial" w:cs="Arial"/>
          <w:b/>
          <w:bCs/>
          <w:color w:val="000000" w:themeColor="text1"/>
          <w:sz w:val="22"/>
          <w:szCs w:val="22"/>
          <w:u w:val="single"/>
        </w:rPr>
        <w:t xml:space="preserve">mensual </w:t>
      </w:r>
      <w:r w:rsidRPr="001C7690">
        <w:rPr>
          <w:rFonts w:ascii="Arial" w:hAnsi="Arial" w:cs="Arial"/>
          <w:b/>
          <w:bCs/>
          <w:color w:val="000000" w:themeColor="text1"/>
          <w:sz w:val="22"/>
          <w:szCs w:val="22"/>
          <w:u w:val="single"/>
        </w:rPr>
        <w:t>corresponde</w:t>
      </w:r>
      <w:r w:rsidR="00E5496A" w:rsidRPr="001C7690">
        <w:rPr>
          <w:rFonts w:ascii="Arial" w:hAnsi="Arial" w:cs="Arial"/>
          <w:b/>
          <w:bCs/>
          <w:color w:val="000000" w:themeColor="text1"/>
          <w:sz w:val="22"/>
          <w:szCs w:val="22"/>
          <w:u w:val="single"/>
        </w:rPr>
        <w:t>rá</w:t>
      </w:r>
      <w:r w:rsidRPr="001C7690">
        <w:rPr>
          <w:rFonts w:ascii="Arial" w:hAnsi="Arial" w:cs="Arial"/>
          <w:b/>
          <w:bCs/>
          <w:color w:val="000000" w:themeColor="text1"/>
          <w:sz w:val="22"/>
          <w:szCs w:val="22"/>
          <w:u w:val="single"/>
        </w:rPr>
        <w:t xml:space="preserve"> al promedio simple de las puntuaciones obtenidas en los indicadores </w:t>
      </w:r>
      <w:r w:rsidR="00E5496A" w:rsidRPr="001C7690">
        <w:rPr>
          <w:rFonts w:ascii="Arial" w:hAnsi="Arial" w:cs="Arial"/>
          <w:b/>
          <w:bCs/>
          <w:color w:val="000000" w:themeColor="text1"/>
          <w:sz w:val="22"/>
          <w:szCs w:val="22"/>
          <w:u w:val="single"/>
        </w:rPr>
        <w:t xml:space="preserve">establecidos </w:t>
      </w:r>
      <w:r w:rsidRPr="001C7690">
        <w:rPr>
          <w:rFonts w:ascii="Arial" w:hAnsi="Arial" w:cs="Arial"/>
          <w:b/>
          <w:bCs/>
          <w:color w:val="000000" w:themeColor="text1"/>
          <w:sz w:val="22"/>
          <w:szCs w:val="22"/>
          <w:u w:val="single"/>
        </w:rPr>
        <w:t>en la Tabla 1 durante el respectivo mes.</w:t>
      </w:r>
    </w:p>
    <w:p w14:paraId="5CA52D3E" w14:textId="77777777" w:rsidR="007F2502" w:rsidRPr="001C7690" w:rsidRDefault="007F2502" w:rsidP="007F2502">
      <w:pPr>
        <w:jc w:val="both"/>
        <w:rPr>
          <w:rFonts w:ascii="Arial" w:hAnsi="Arial" w:cs="Arial"/>
          <w:b/>
          <w:bCs/>
          <w:color w:val="000000" w:themeColor="text1"/>
          <w:sz w:val="22"/>
          <w:szCs w:val="22"/>
          <w:u w:val="single"/>
        </w:rPr>
      </w:pPr>
    </w:p>
    <w:p w14:paraId="2820C3FA" w14:textId="4EC5574D" w:rsidR="00307B2E" w:rsidRDefault="007F2502" w:rsidP="007F2502">
      <w:pPr>
        <w:jc w:val="both"/>
        <w:rPr>
          <w:rFonts w:ascii="Arial" w:hAnsi="Arial" w:cs="Arial"/>
          <w:color w:val="000000" w:themeColor="text1"/>
          <w:sz w:val="22"/>
          <w:szCs w:val="22"/>
        </w:rPr>
      </w:pPr>
      <w:r w:rsidRPr="001C7690">
        <w:rPr>
          <w:rFonts w:ascii="Arial" w:hAnsi="Arial" w:cs="Arial"/>
          <w:b/>
          <w:bCs/>
          <w:color w:val="000000" w:themeColor="text1"/>
          <w:sz w:val="22"/>
          <w:szCs w:val="22"/>
          <w:u w:val="single"/>
        </w:rPr>
        <w:t>La calificación por riesgo</w:t>
      </w:r>
      <w:r w:rsidR="0096303A" w:rsidRPr="001C7690">
        <w:rPr>
          <w:rFonts w:ascii="Arial" w:hAnsi="Arial" w:cs="Arial"/>
          <w:b/>
          <w:bCs/>
          <w:color w:val="000000" w:themeColor="text1"/>
          <w:sz w:val="22"/>
          <w:szCs w:val="22"/>
          <w:u w:val="single"/>
        </w:rPr>
        <w:t xml:space="preserve"> (CR)</w:t>
      </w:r>
      <w:r w:rsidRPr="001C7690">
        <w:rPr>
          <w:rFonts w:ascii="Arial" w:hAnsi="Arial" w:cs="Arial"/>
          <w:b/>
          <w:bCs/>
          <w:color w:val="000000" w:themeColor="text1"/>
          <w:sz w:val="22"/>
          <w:szCs w:val="22"/>
          <w:u w:val="single"/>
        </w:rPr>
        <w:t xml:space="preserve"> </w:t>
      </w:r>
      <w:r w:rsidR="00FA7293" w:rsidRPr="001C7690">
        <w:rPr>
          <w:rFonts w:ascii="Arial" w:hAnsi="Arial" w:cs="Arial"/>
          <w:b/>
          <w:bCs/>
          <w:color w:val="000000" w:themeColor="text1"/>
          <w:sz w:val="22"/>
          <w:szCs w:val="22"/>
          <w:u w:val="single"/>
        </w:rPr>
        <w:t>y el Factor de Ajuste Diferencial (F</w:t>
      </w:r>
      <w:r w:rsidR="005C6A16">
        <w:rPr>
          <w:rFonts w:ascii="Arial" w:hAnsi="Arial" w:cs="Arial"/>
          <w:b/>
          <w:bCs/>
          <w:color w:val="000000" w:themeColor="text1"/>
          <w:sz w:val="22"/>
          <w:szCs w:val="22"/>
          <w:u w:val="single"/>
        </w:rPr>
        <w:t>A</w:t>
      </w:r>
      <w:r w:rsidR="00FA7293" w:rsidRPr="001C7690">
        <w:rPr>
          <w:rFonts w:ascii="Arial" w:hAnsi="Arial" w:cs="Arial"/>
          <w:b/>
          <w:bCs/>
          <w:color w:val="000000" w:themeColor="text1"/>
          <w:sz w:val="22"/>
          <w:szCs w:val="22"/>
          <w:u w:val="single"/>
        </w:rPr>
        <w:t xml:space="preserve">D) </w:t>
      </w:r>
      <w:r w:rsidRPr="001C7690">
        <w:rPr>
          <w:rFonts w:ascii="Arial" w:hAnsi="Arial" w:cs="Arial"/>
          <w:b/>
          <w:bCs/>
          <w:color w:val="000000" w:themeColor="text1"/>
          <w:sz w:val="22"/>
          <w:szCs w:val="22"/>
          <w:u w:val="single"/>
        </w:rPr>
        <w:t>se aproximará</w:t>
      </w:r>
      <w:r w:rsidR="0087417B" w:rsidRPr="001C7690">
        <w:rPr>
          <w:rFonts w:ascii="Arial" w:hAnsi="Arial" w:cs="Arial"/>
          <w:b/>
          <w:bCs/>
          <w:color w:val="000000" w:themeColor="text1"/>
          <w:sz w:val="22"/>
          <w:szCs w:val="22"/>
          <w:u w:val="single"/>
        </w:rPr>
        <w:t>n</w:t>
      </w:r>
      <w:r w:rsidRPr="001C7690">
        <w:rPr>
          <w:rFonts w:ascii="Arial" w:hAnsi="Arial" w:cs="Arial"/>
          <w:b/>
          <w:bCs/>
          <w:color w:val="000000" w:themeColor="text1"/>
          <w:sz w:val="22"/>
          <w:szCs w:val="22"/>
          <w:u w:val="single"/>
        </w:rPr>
        <w:t xml:space="preserve"> a dos decimales</w:t>
      </w:r>
      <w:r w:rsidR="0087417B" w:rsidRPr="001C7690">
        <w:rPr>
          <w:rFonts w:ascii="Arial" w:hAnsi="Arial" w:cs="Arial"/>
          <w:b/>
          <w:bCs/>
          <w:color w:val="000000" w:themeColor="text1"/>
          <w:sz w:val="22"/>
          <w:szCs w:val="22"/>
          <w:u w:val="single"/>
        </w:rPr>
        <w:t>,</w:t>
      </w:r>
      <w:r w:rsidRPr="001C7690">
        <w:rPr>
          <w:rFonts w:ascii="Arial" w:hAnsi="Arial" w:cs="Arial"/>
          <w:b/>
          <w:bCs/>
          <w:color w:val="000000" w:themeColor="text1"/>
          <w:sz w:val="22"/>
          <w:szCs w:val="22"/>
          <w:u w:val="single"/>
        </w:rPr>
        <w:t xml:space="preserve"> de </w:t>
      </w:r>
      <w:r w:rsidR="0087417B" w:rsidRPr="001C7690">
        <w:rPr>
          <w:rFonts w:ascii="Arial" w:hAnsi="Arial" w:cs="Arial"/>
          <w:b/>
          <w:bCs/>
          <w:color w:val="000000" w:themeColor="text1"/>
          <w:sz w:val="22"/>
          <w:szCs w:val="22"/>
          <w:u w:val="single"/>
        </w:rPr>
        <w:t xml:space="preserve">conformidad </w:t>
      </w:r>
      <w:r w:rsidRPr="001C7690">
        <w:rPr>
          <w:rFonts w:ascii="Arial" w:hAnsi="Arial" w:cs="Arial"/>
          <w:b/>
          <w:bCs/>
          <w:color w:val="000000" w:themeColor="text1"/>
          <w:sz w:val="22"/>
          <w:szCs w:val="22"/>
          <w:u w:val="single"/>
        </w:rPr>
        <w:t>con l</w:t>
      </w:r>
      <w:r w:rsidR="0087417B" w:rsidRPr="001C7690">
        <w:rPr>
          <w:rFonts w:ascii="Arial" w:hAnsi="Arial" w:cs="Arial"/>
          <w:b/>
          <w:bCs/>
          <w:color w:val="000000" w:themeColor="text1"/>
          <w:sz w:val="22"/>
          <w:szCs w:val="22"/>
          <w:u w:val="single"/>
        </w:rPr>
        <w:t>as reglas de aproximación</w:t>
      </w:r>
      <w:r w:rsidRPr="001C7690">
        <w:rPr>
          <w:rFonts w:ascii="Arial" w:hAnsi="Arial" w:cs="Arial"/>
          <w:b/>
          <w:bCs/>
          <w:color w:val="000000" w:themeColor="text1"/>
          <w:sz w:val="22"/>
          <w:szCs w:val="22"/>
          <w:u w:val="single"/>
        </w:rPr>
        <w:t xml:space="preserve"> establecid</w:t>
      </w:r>
      <w:r w:rsidR="00D85954" w:rsidRPr="001C7690">
        <w:rPr>
          <w:rFonts w:ascii="Arial" w:hAnsi="Arial" w:cs="Arial"/>
          <w:b/>
          <w:bCs/>
          <w:color w:val="000000" w:themeColor="text1"/>
          <w:sz w:val="22"/>
          <w:szCs w:val="22"/>
          <w:u w:val="single"/>
        </w:rPr>
        <w:t>as</w:t>
      </w:r>
      <w:r w:rsidRPr="001C7690">
        <w:rPr>
          <w:rFonts w:ascii="Arial" w:hAnsi="Arial" w:cs="Arial"/>
          <w:b/>
          <w:bCs/>
          <w:color w:val="000000" w:themeColor="text1"/>
          <w:sz w:val="22"/>
          <w:szCs w:val="22"/>
          <w:u w:val="single"/>
        </w:rPr>
        <w:t xml:space="preserve"> en el </w:t>
      </w:r>
      <w:r w:rsidR="00525077" w:rsidRPr="001C7690">
        <w:rPr>
          <w:rFonts w:ascii="Arial" w:hAnsi="Arial" w:cs="Arial"/>
          <w:b/>
          <w:bCs/>
          <w:color w:val="000000" w:themeColor="text1"/>
          <w:sz w:val="22"/>
          <w:szCs w:val="22"/>
          <w:u w:val="single"/>
        </w:rPr>
        <w:t>parágrafo primero</w:t>
      </w:r>
      <w:r w:rsidR="51BFAFED" w:rsidRPr="001C7690">
        <w:rPr>
          <w:rFonts w:ascii="Arial" w:hAnsi="Arial" w:cs="Arial"/>
          <w:b/>
          <w:bCs/>
          <w:color w:val="000000" w:themeColor="text1"/>
          <w:sz w:val="22"/>
          <w:szCs w:val="22"/>
          <w:u w:val="single"/>
        </w:rPr>
        <w:t xml:space="preserve"> </w:t>
      </w:r>
      <w:r w:rsidRPr="001C7690">
        <w:rPr>
          <w:rFonts w:ascii="Arial" w:hAnsi="Arial" w:cs="Arial"/>
          <w:b/>
          <w:bCs/>
          <w:color w:val="000000" w:themeColor="text1"/>
          <w:sz w:val="22"/>
          <w:szCs w:val="22"/>
          <w:u w:val="single"/>
        </w:rPr>
        <w:t xml:space="preserve">del artículo </w:t>
      </w:r>
      <w:r w:rsidR="33DD3E34" w:rsidRPr="001C7690">
        <w:rPr>
          <w:rFonts w:ascii="Arial" w:hAnsi="Arial" w:cs="Arial"/>
          <w:b/>
          <w:bCs/>
          <w:color w:val="000000" w:themeColor="text1"/>
          <w:sz w:val="22"/>
          <w:szCs w:val="22"/>
          <w:u w:val="single"/>
        </w:rPr>
        <w:t>quinto</w:t>
      </w:r>
      <w:r w:rsidR="00DD5FDF" w:rsidRPr="001C7690">
        <w:rPr>
          <w:rFonts w:ascii="Arial" w:hAnsi="Arial" w:cs="Arial"/>
          <w:b/>
          <w:bCs/>
          <w:color w:val="000000" w:themeColor="text1"/>
          <w:sz w:val="22"/>
          <w:szCs w:val="22"/>
          <w:u w:val="single"/>
        </w:rPr>
        <w:t xml:space="preserve"> </w:t>
      </w:r>
      <w:r w:rsidRPr="001C7690">
        <w:rPr>
          <w:rFonts w:ascii="Arial" w:hAnsi="Arial" w:cs="Arial"/>
          <w:b/>
          <w:bCs/>
          <w:color w:val="000000" w:themeColor="text1"/>
          <w:sz w:val="22"/>
          <w:szCs w:val="22"/>
          <w:u w:val="single"/>
        </w:rPr>
        <w:t xml:space="preserve">de la presente </w:t>
      </w:r>
      <w:r w:rsidR="28EC8926" w:rsidRPr="001C7690">
        <w:rPr>
          <w:rFonts w:ascii="Arial" w:hAnsi="Arial" w:cs="Arial"/>
          <w:b/>
          <w:bCs/>
          <w:color w:val="000000" w:themeColor="text1"/>
          <w:sz w:val="22"/>
          <w:szCs w:val="22"/>
          <w:u w:val="single"/>
        </w:rPr>
        <w:t>R</w:t>
      </w:r>
      <w:r w:rsidRPr="001C7690">
        <w:rPr>
          <w:rFonts w:ascii="Arial" w:hAnsi="Arial" w:cs="Arial"/>
          <w:b/>
          <w:bCs/>
          <w:color w:val="000000" w:themeColor="text1"/>
          <w:sz w:val="22"/>
          <w:szCs w:val="22"/>
          <w:u w:val="single"/>
        </w:rPr>
        <w:t>esolución.</w:t>
      </w:r>
    </w:p>
    <w:p w14:paraId="3EBBE077" w14:textId="478006A2" w:rsidR="002305C0" w:rsidRPr="00DB62B8" w:rsidRDefault="002305C0" w:rsidP="002305C0">
      <w:pPr>
        <w:spacing w:before="240" w:after="240"/>
        <w:jc w:val="both"/>
        <w:rPr>
          <w:rFonts w:ascii="Arial" w:eastAsia="Arial" w:hAnsi="Arial" w:cs="Arial"/>
          <w:b/>
          <w:bCs/>
          <w:color w:val="000000" w:themeColor="text1"/>
          <w:sz w:val="22"/>
          <w:szCs w:val="22"/>
          <w:u w:val="single"/>
        </w:rPr>
      </w:pPr>
      <w:r w:rsidRPr="00DB62B8">
        <w:rPr>
          <w:rFonts w:ascii="Arial" w:eastAsia="Arial" w:hAnsi="Arial" w:cs="Arial"/>
          <w:b/>
          <w:bCs/>
          <w:color w:val="000000" w:themeColor="text1"/>
          <w:sz w:val="22"/>
          <w:szCs w:val="22"/>
          <w:u w:val="single"/>
        </w:rPr>
        <w:lastRenderedPageBreak/>
        <w:t xml:space="preserve">PARÁGRAFO </w:t>
      </w:r>
      <w:r w:rsidR="00393519" w:rsidRPr="00DB62B8">
        <w:rPr>
          <w:rFonts w:ascii="Arial" w:eastAsia="Arial" w:hAnsi="Arial" w:cs="Arial"/>
          <w:b/>
          <w:bCs/>
          <w:color w:val="000000" w:themeColor="text1"/>
          <w:sz w:val="22"/>
          <w:szCs w:val="22"/>
          <w:u w:val="single"/>
        </w:rPr>
        <w:t>TERCERO</w:t>
      </w:r>
      <w:r w:rsidRPr="00DB62B8">
        <w:rPr>
          <w:rFonts w:ascii="Arial" w:eastAsia="Arial" w:hAnsi="Arial" w:cs="Arial"/>
          <w:b/>
          <w:bCs/>
          <w:color w:val="000000" w:themeColor="text1"/>
          <w:sz w:val="22"/>
          <w:szCs w:val="22"/>
          <w:u w:val="single"/>
        </w:rPr>
        <w:t xml:space="preserve">. El cálculo de los indicadores, de que trata la Tabla 1 de este artículo, se </w:t>
      </w:r>
      <w:r w:rsidR="006C3691" w:rsidRPr="00DB62B8">
        <w:rPr>
          <w:rFonts w:ascii="Arial" w:eastAsia="Arial" w:hAnsi="Arial" w:cs="Arial"/>
          <w:b/>
          <w:bCs/>
          <w:color w:val="000000" w:themeColor="text1"/>
          <w:sz w:val="22"/>
          <w:szCs w:val="22"/>
          <w:u w:val="single"/>
        </w:rPr>
        <w:t>realizará</w:t>
      </w:r>
      <w:r w:rsidRPr="00DB62B8">
        <w:rPr>
          <w:rFonts w:ascii="Arial" w:eastAsia="Arial" w:hAnsi="Arial" w:cs="Arial"/>
          <w:b/>
          <w:bCs/>
          <w:color w:val="000000" w:themeColor="text1"/>
          <w:sz w:val="22"/>
          <w:szCs w:val="22"/>
          <w:u w:val="single"/>
        </w:rPr>
        <w:t xml:space="preserve"> principalmente con base en la información reportada por </w:t>
      </w:r>
      <w:r w:rsidR="006C3691" w:rsidRPr="00DB62B8">
        <w:rPr>
          <w:rFonts w:ascii="Arial" w:eastAsia="Arial" w:hAnsi="Arial" w:cs="Arial"/>
          <w:b/>
          <w:bCs/>
          <w:color w:val="000000" w:themeColor="text1"/>
          <w:sz w:val="22"/>
          <w:szCs w:val="22"/>
          <w:u w:val="single"/>
        </w:rPr>
        <w:t xml:space="preserve">las SEDPES </w:t>
      </w:r>
      <w:r w:rsidRPr="00DB62B8">
        <w:rPr>
          <w:rFonts w:ascii="Arial" w:eastAsia="Arial" w:hAnsi="Arial" w:cs="Arial"/>
          <w:b/>
          <w:bCs/>
          <w:color w:val="000000" w:themeColor="text1"/>
          <w:sz w:val="22"/>
          <w:szCs w:val="22"/>
          <w:u w:val="single"/>
        </w:rPr>
        <w:t>a la Superintendencia Financiera de Colombia y a Fogafín</w:t>
      </w:r>
      <w:r w:rsidR="00317326" w:rsidRPr="00DB62B8">
        <w:rPr>
          <w:rFonts w:ascii="Arial" w:eastAsia="Arial" w:hAnsi="Arial" w:cs="Arial"/>
          <w:b/>
          <w:bCs/>
          <w:color w:val="000000" w:themeColor="text1"/>
          <w:sz w:val="22"/>
          <w:szCs w:val="22"/>
          <w:u w:val="single"/>
        </w:rPr>
        <w:t>, a través del</w:t>
      </w:r>
      <w:r w:rsidRPr="00DB62B8">
        <w:rPr>
          <w:rFonts w:ascii="Arial" w:eastAsia="Arial" w:hAnsi="Arial" w:cs="Arial"/>
          <w:b/>
          <w:bCs/>
          <w:color w:val="000000" w:themeColor="text1"/>
          <w:sz w:val="22"/>
          <w:szCs w:val="22"/>
          <w:u w:val="single"/>
        </w:rPr>
        <w:t xml:space="preserve"> Formato de Depósitos Individuales</w:t>
      </w:r>
      <w:r w:rsidR="00317326" w:rsidRPr="00DB62B8">
        <w:rPr>
          <w:rFonts w:ascii="Arial" w:eastAsia="Arial" w:hAnsi="Arial" w:cs="Arial"/>
          <w:b/>
          <w:bCs/>
          <w:color w:val="000000" w:themeColor="text1"/>
          <w:sz w:val="22"/>
          <w:szCs w:val="22"/>
          <w:u w:val="single"/>
        </w:rPr>
        <w:t xml:space="preserve">, según corresponda, así </w:t>
      </w:r>
      <w:r w:rsidR="003D05D1" w:rsidRPr="00DB62B8">
        <w:rPr>
          <w:rFonts w:ascii="Arial" w:eastAsia="Arial" w:hAnsi="Arial" w:cs="Arial"/>
          <w:b/>
          <w:bCs/>
          <w:color w:val="000000" w:themeColor="text1"/>
          <w:sz w:val="22"/>
          <w:szCs w:val="22"/>
          <w:u w:val="single"/>
        </w:rPr>
        <w:t>como la demás</w:t>
      </w:r>
      <w:r w:rsidRPr="00DB62B8">
        <w:rPr>
          <w:rFonts w:ascii="Arial" w:eastAsia="Arial" w:hAnsi="Arial" w:cs="Arial"/>
          <w:b/>
          <w:bCs/>
          <w:color w:val="000000" w:themeColor="text1"/>
          <w:sz w:val="22"/>
          <w:szCs w:val="22"/>
          <w:u w:val="single"/>
        </w:rPr>
        <w:t xml:space="preserve"> información pública disponible. En todo caso, para efectos </w:t>
      </w:r>
      <w:r w:rsidR="003D05D1" w:rsidRPr="00DB62B8">
        <w:rPr>
          <w:rFonts w:ascii="Arial" w:eastAsia="Arial" w:hAnsi="Arial" w:cs="Arial"/>
          <w:b/>
          <w:bCs/>
          <w:color w:val="000000" w:themeColor="text1"/>
          <w:sz w:val="22"/>
          <w:szCs w:val="22"/>
          <w:u w:val="single"/>
        </w:rPr>
        <w:t>de validar</w:t>
      </w:r>
      <w:r w:rsidRPr="00DB62B8">
        <w:rPr>
          <w:rFonts w:ascii="Arial" w:eastAsia="Arial" w:hAnsi="Arial" w:cs="Arial"/>
          <w:b/>
          <w:bCs/>
          <w:color w:val="000000" w:themeColor="text1"/>
          <w:sz w:val="22"/>
          <w:szCs w:val="22"/>
          <w:u w:val="single"/>
        </w:rPr>
        <w:t xml:space="preserve"> el cálculo realizado por cada entidad, el Fondo tendrá en cuenta información entregada por la Superintendencia Financiera a Fogafín.</w:t>
      </w:r>
    </w:p>
    <w:p w14:paraId="482A7551" w14:textId="322B8AA4" w:rsidR="00FF49E9" w:rsidRPr="00DB62B8" w:rsidRDefault="002305C0" w:rsidP="002305C0">
      <w:pPr>
        <w:spacing w:before="240" w:after="240"/>
        <w:jc w:val="both"/>
        <w:rPr>
          <w:rFonts w:ascii="Arial" w:eastAsia="Arial" w:hAnsi="Arial" w:cs="Arial"/>
          <w:b/>
          <w:bCs/>
          <w:color w:val="000000" w:themeColor="text1"/>
          <w:sz w:val="22"/>
          <w:szCs w:val="22"/>
          <w:u w:val="single"/>
        </w:rPr>
      </w:pPr>
      <w:r w:rsidRPr="00DB62B8">
        <w:rPr>
          <w:rFonts w:ascii="Arial" w:eastAsia="Arial" w:hAnsi="Arial" w:cs="Arial"/>
          <w:b/>
          <w:bCs/>
          <w:color w:val="000000" w:themeColor="text1"/>
          <w:sz w:val="22"/>
          <w:szCs w:val="22"/>
          <w:u w:val="single"/>
        </w:rPr>
        <w:t xml:space="preserve">Para efectos del cálculo de los indicadores </w:t>
      </w:r>
      <w:r w:rsidR="008D239C" w:rsidRPr="00DB62B8">
        <w:rPr>
          <w:rFonts w:ascii="Arial" w:eastAsia="Arial" w:hAnsi="Arial" w:cs="Arial"/>
          <w:b/>
          <w:bCs/>
          <w:color w:val="000000" w:themeColor="text1"/>
          <w:sz w:val="22"/>
          <w:szCs w:val="22"/>
          <w:u w:val="single"/>
        </w:rPr>
        <w:t xml:space="preserve">establecidos en </w:t>
      </w:r>
      <w:r w:rsidRPr="00DB62B8">
        <w:rPr>
          <w:rFonts w:ascii="Arial" w:eastAsia="Arial" w:hAnsi="Arial" w:cs="Arial"/>
          <w:b/>
          <w:bCs/>
          <w:color w:val="000000" w:themeColor="text1"/>
          <w:sz w:val="22"/>
          <w:szCs w:val="22"/>
          <w:u w:val="single"/>
        </w:rPr>
        <w:t xml:space="preserve">el numeral 1 </w:t>
      </w:r>
      <w:r w:rsidR="008D239C" w:rsidRPr="00DB62B8">
        <w:rPr>
          <w:rFonts w:ascii="Arial" w:eastAsia="Arial" w:hAnsi="Arial" w:cs="Arial"/>
          <w:b/>
          <w:bCs/>
          <w:color w:val="000000" w:themeColor="text1"/>
          <w:sz w:val="22"/>
          <w:szCs w:val="22"/>
          <w:u w:val="single"/>
        </w:rPr>
        <w:t>del presente</w:t>
      </w:r>
      <w:r w:rsidRPr="00DB62B8">
        <w:rPr>
          <w:rFonts w:ascii="Arial" w:eastAsia="Arial" w:hAnsi="Arial" w:cs="Arial"/>
          <w:b/>
          <w:bCs/>
          <w:color w:val="000000" w:themeColor="text1"/>
          <w:sz w:val="22"/>
          <w:szCs w:val="22"/>
          <w:u w:val="single"/>
        </w:rPr>
        <w:t xml:space="preserve"> artículo, se </w:t>
      </w:r>
      <w:r w:rsidR="00B7311B" w:rsidRPr="00DB62B8">
        <w:rPr>
          <w:rFonts w:ascii="Arial" w:eastAsia="Arial" w:hAnsi="Arial" w:cs="Arial"/>
          <w:b/>
          <w:bCs/>
          <w:color w:val="000000" w:themeColor="text1"/>
          <w:sz w:val="22"/>
          <w:szCs w:val="22"/>
          <w:u w:val="single"/>
        </w:rPr>
        <w:t>tendrán en cuenta</w:t>
      </w:r>
      <w:r w:rsidR="00AD58D9" w:rsidRPr="00DB62B8">
        <w:rPr>
          <w:rFonts w:ascii="Arial" w:eastAsia="Arial" w:hAnsi="Arial" w:cs="Arial"/>
          <w:b/>
          <w:bCs/>
          <w:color w:val="000000" w:themeColor="text1"/>
          <w:sz w:val="22"/>
          <w:szCs w:val="22"/>
          <w:u w:val="single"/>
        </w:rPr>
        <w:t xml:space="preserve"> los estados financieros reportados por las entidades </w:t>
      </w:r>
      <w:r w:rsidRPr="00DB62B8">
        <w:rPr>
          <w:rFonts w:ascii="Arial" w:eastAsia="Arial" w:hAnsi="Arial" w:cs="Arial"/>
          <w:b/>
          <w:bCs/>
          <w:color w:val="000000" w:themeColor="text1"/>
          <w:sz w:val="22"/>
          <w:szCs w:val="22"/>
          <w:u w:val="single"/>
        </w:rPr>
        <w:t>de acuerdo con el Catálogo Único de Información Financiera con fines de Supervisión</w:t>
      </w:r>
      <w:r w:rsidR="000C6E92" w:rsidRPr="00DB62B8">
        <w:rPr>
          <w:rFonts w:ascii="Arial" w:eastAsia="Arial" w:hAnsi="Arial" w:cs="Arial"/>
          <w:b/>
          <w:bCs/>
          <w:color w:val="000000" w:themeColor="text1"/>
          <w:sz w:val="22"/>
          <w:szCs w:val="22"/>
          <w:u w:val="single"/>
        </w:rPr>
        <w:t xml:space="preserve"> (CUIF),</w:t>
      </w:r>
      <w:r w:rsidRPr="00DB62B8">
        <w:rPr>
          <w:rFonts w:ascii="Arial" w:eastAsia="Arial" w:hAnsi="Arial" w:cs="Arial"/>
          <w:b/>
          <w:bCs/>
          <w:color w:val="000000" w:themeColor="text1"/>
          <w:sz w:val="22"/>
          <w:szCs w:val="22"/>
          <w:u w:val="single"/>
        </w:rPr>
        <w:t xml:space="preserve"> expedido por la Superintendencia Financiera de Colombia</w:t>
      </w:r>
      <w:r w:rsidR="00FD2D58" w:rsidRPr="00DB62B8">
        <w:rPr>
          <w:rFonts w:ascii="Arial" w:eastAsia="Arial" w:hAnsi="Arial" w:cs="Arial"/>
          <w:b/>
          <w:bCs/>
          <w:color w:val="000000" w:themeColor="text1"/>
          <w:sz w:val="22"/>
          <w:szCs w:val="22"/>
          <w:u w:val="single"/>
        </w:rPr>
        <w:t>.</w:t>
      </w:r>
    </w:p>
    <w:p w14:paraId="0A3C954A" w14:textId="44CDA405" w:rsidR="00FF49E9" w:rsidRPr="00DB62B8" w:rsidRDefault="00FF49E9" w:rsidP="002305C0">
      <w:pPr>
        <w:spacing w:before="240" w:after="240"/>
        <w:jc w:val="both"/>
        <w:rPr>
          <w:rFonts w:ascii="Arial" w:eastAsia="Arial" w:hAnsi="Arial" w:cs="Arial"/>
          <w:b/>
          <w:bCs/>
          <w:color w:val="000000" w:themeColor="text1"/>
          <w:sz w:val="22"/>
          <w:szCs w:val="22"/>
          <w:u w:val="single"/>
        </w:rPr>
      </w:pPr>
      <w:r w:rsidRPr="00DB62B8">
        <w:rPr>
          <w:rFonts w:ascii="Arial" w:eastAsia="Arial" w:hAnsi="Arial" w:cs="Arial"/>
          <w:b/>
          <w:bCs/>
          <w:color w:val="000000" w:themeColor="text1"/>
          <w:sz w:val="22"/>
          <w:szCs w:val="22"/>
          <w:u w:val="single"/>
        </w:rPr>
        <w:t>Para el cálculo de los indicadores, se tendrá en cuenta la información retransmitida a la Superintendencia Financiera de Colombia, siempre que la retransmisión se efectúe, a más tardar, el día calendario anterior al inicio de cada uno de los meses de pago previstos en el parágrafo primero del artículo octavo de la presente Resolución. La entidad inscrita deberá informar a Fogafín sobre dicha retransmisión dentro del mismo plazo.</w:t>
      </w:r>
    </w:p>
    <w:p w14:paraId="153DC742" w14:textId="3A038B89" w:rsidR="00052E3B" w:rsidRPr="00DB62B8" w:rsidRDefault="002546B9" w:rsidP="006A11EB">
      <w:pPr>
        <w:spacing w:before="240" w:after="240"/>
        <w:jc w:val="both"/>
        <w:rPr>
          <w:rFonts w:ascii="Arial" w:eastAsia="Arial" w:hAnsi="Arial" w:cs="Arial"/>
          <w:b/>
          <w:bCs/>
          <w:color w:val="000000" w:themeColor="text1"/>
          <w:sz w:val="22"/>
          <w:szCs w:val="22"/>
          <w:u w:val="single"/>
        </w:rPr>
      </w:pPr>
      <w:r w:rsidRPr="00DB62B8">
        <w:rPr>
          <w:rFonts w:ascii="Arial" w:eastAsia="Arial" w:hAnsi="Arial" w:cs="Arial"/>
          <w:b/>
          <w:bCs/>
          <w:color w:val="000000" w:themeColor="text1"/>
          <w:sz w:val="22"/>
          <w:szCs w:val="22"/>
          <w:u w:val="single"/>
        </w:rPr>
        <w:t xml:space="preserve">En todo caso, la información retransmitida solo se tendrá en cuenta si la Superintendencia Financiera de Colombia la pone a disposición de Fogafín, a más tardar, el día calendario anterior </w:t>
      </w:r>
    </w:p>
    <w:p w14:paraId="4D59EDA1" w14:textId="08A83296" w:rsidR="002305C0" w:rsidRPr="00DB62B8" w:rsidRDefault="002305C0" w:rsidP="002305C0">
      <w:pPr>
        <w:spacing w:before="240" w:after="240"/>
        <w:jc w:val="both"/>
        <w:rPr>
          <w:rFonts w:ascii="Arial" w:eastAsia="Arial" w:hAnsi="Arial" w:cs="Arial"/>
          <w:b/>
          <w:bCs/>
          <w:color w:val="000000" w:themeColor="text1"/>
          <w:sz w:val="22"/>
          <w:szCs w:val="22"/>
          <w:u w:val="single"/>
          <w:lang w:val="es-CO"/>
        </w:rPr>
      </w:pPr>
      <w:r w:rsidRPr="00DB62B8">
        <w:rPr>
          <w:rFonts w:ascii="Arial" w:eastAsia="Arial" w:hAnsi="Arial" w:cs="Arial"/>
          <w:b/>
          <w:bCs/>
          <w:color w:val="000000" w:themeColor="text1"/>
          <w:sz w:val="22"/>
          <w:szCs w:val="22"/>
          <w:u w:val="single"/>
        </w:rPr>
        <w:t xml:space="preserve">Para el caso de los indicadores calculados con base en la información del Formato de Depósitos Individuales, </w:t>
      </w:r>
      <w:r w:rsidR="00440475" w:rsidRPr="00DB62B8">
        <w:rPr>
          <w:rFonts w:ascii="Arial" w:eastAsia="Arial" w:hAnsi="Arial" w:cs="Arial"/>
          <w:b/>
          <w:bCs/>
          <w:color w:val="000000" w:themeColor="text1"/>
          <w:sz w:val="22"/>
          <w:szCs w:val="22"/>
          <w:u w:val="single"/>
        </w:rPr>
        <w:t>únicamente</w:t>
      </w:r>
      <w:r w:rsidR="007C1A97" w:rsidRPr="00DB62B8">
        <w:rPr>
          <w:rFonts w:ascii="Arial" w:eastAsia="Arial" w:hAnsi="Arial" w:cs="Arial"/>
          <w:b/>
          <w:bCs/>
          <w:color w:val="000000" w:themeColor="text1"/>
          <w:sz w:val="22"/>
          <w:szCs w:val="22"/>
          <w:u w:val="single"/>
        </w:rPr>
        <w:t xml:space="preserve"> </w:t>
      </w:r>
      <w:r w:rsidRPr="00DB62B8">
        <w:rPr>
          <w:rFonts w:ascii="Arial" w:eastAsia="Arial" w:hAnsi="Arial" w:cs="Arial"/>
          <w:b/>
          <w:bCs/>
          <w:color w:val="000000" w:themeColor="text1"/>
          <w:sz w:val="22"/>
          <w:szCs w:val="22"/>
          <w:u w:val="single"/>
        </w:rPr>
        <w:t xml:space="preserve">se tendrá en cuenta la información transmitida en los términos, condiciones y plazos que establezca el Fondo mediante Circular Externa. </w:t>
      </w:r>
    </w:p>
    <w:p w14:paraId="32A738D3" w14:textId="5E5557D9" w:rsidR="005E400B" w:rsidRPr="00DB62B8" w:rsidRDefault="002305C0" w:rsidP="002305C0">
      <w:pPr>
        <w:spacing w:before="240" w:after="240"/>
        <w:jc w:val="both"/>
        <w:rPr>
          <w:rFonts w:ascii="Arial" w:eastAsia="Arial" w:hAnsi="Arial" w:cs="Arial"/>
          <w:b/>
          <w:bCs/>
          <w:color w:val="000000" w:themeColor="text1"/>
          <w:sz w:val="22"/>
          <w:szCs w:val="22"/>
          <w:u w:val="single"/>
        </w:rPr>
      </w:pPr>
      <w:r w:rsidRPr="00DB62B8">
        <w:rPr>
          <w:rFonts w:ascii="Arial" w:eastAsia="Arial" w:hAnsi="Arial" w:cs="Arial"/>
          <w:b/>
          <w:bCs/>
          <w:color w:val="000000" w:themeColor="text1"/>
          <w:sz w:val="22"/>
          <w:szCs w:val="22"/>
          <w:u w:val="single"/>
        </w:rPr>
        <w:t xml:space="preserve">PARÁGRAFO </w:t>
      </w:r>
      <w:r w:rsidR="00393519" w:rsidRPr="00DB62B8">
        <w:rPr>
          <w:rFonts w:ascii="Arial" w:eastAsia="Arial" w:hAnsi="Arial" w:cs="Arial"/>
          <w:b/>
          <w:bCs/>
          <w:color w:val="000000" w:themeColor="text1"/>
          <w:sz w:val="22"/>
          <w:szCs w:val="22"/>
          <w:u w:val="single"/>
        </w:rPr>
        <w:t>CUARTO</w:t>
      </w:r>
      <w:r w:rsidRPr="00DB62B8">
        <w:rPr>
          <w:rFonts w:ascii="Arial" w:eastAsia="Arial" w:hAnsi="Arial" w:cs="Arial"/>
          <w:b/>
          <w:bCs/>
          <w:color w:val="000000" w:themeColor="text1"/>
          <w:sz w:val="22"/>
          <w:szCs w:val="22"/>
          <w:u w:val="single"/>
        </w:rPr>
        <w:t>. En el caso que no se cuente con la información para calcular alguno de los indicadores señalados en la Tabla 1, dada su inexistencia o porque el denominador de alguna razón sea cero, la misma se entenderá matemáticamente inexistente y, por tanto, se procederá a calcular la calificación de riesgo a partir del promedio sin contemplar la variable faltante.</w:t>
      </w:r>
    </w:p>
    <w:p w14:paraId="18573765" w14:textId="7B98ACBF" w:rsidR="005E400B" w:rsidRPr="00DB62B8" w:rsidRDefault="005E400B" w:rsidP="005E400B">
      <w:pPr>
        <w:spacing w:before="240" w:after="240"/>
        <w:jc w:val="both"/>
        <w:rPr>
          <w:rFonts w:ascii="Arial" w:eastAsia="Arial" w:hAnsi="Arial" w:cs="Arial"/>
          <w:b/>
          <w:bCs/>
          <w:color w:val="000000" w:themeColor="text1"/>
          <w:sz w:val="22"/>
          <w:szCs w:val="22"/>
          <w:u w:val="single"/>
        </w:rPr>
      </w:pPr>
      <w:r w:rsidRPr="00DB62B8">
        <w:rPr>
          <w:rFonts w:ascii="Arial" w:eastAsia="Arial" w:hAnsi="Arial" w:cs="Arial"/>
          <w:b/>
          <w:bCs/>
          <w:color w:val="000000" w:themeColor="text1"/>
          <w:sz w:val="22"/>
          <w:szCs w:val="22"/>
          <w:u w:val="single"/>
        </w:rPr>
        <w:t>En el evento en que a una SEDPE le falten datos de un indicador</w:t>
      </w:r>
      <w:r w:rsidR="007A66CF" w:rsidRPr="00DB62B8">
        <w:rPr>
          <w:rFonts w:ascii="Arial" w:eastAsia="Arial" w:hAnsi="Arial" w:cs="Arial"/>
          <w:b/>
          <w:bCs/>
          <w:color w:val="000000" w:themeColor="text1"/>
          <w:sz w:val="22"/>
          <w:szCs w:val="22"/>
          <w:u w:val="single"/>
        </w:rPr>
        <w:t xml:space="preserve"> de la calificación de riesgo (CR)</w:t>
      </w:r>
      <w:r w:rsidRPr="00DB62B8">
        <w:rPr>
          <w:rFonts w:ascii="Arial" w:eastAsia="Arial" w:hAnsi="Arial" w:cs="Arial"/>
          <w:b/>
          <w:bCs/>
          <w:color w:val="000000" w:themeColor="text1"/>
          <w:sz w:val="22"/>
          <w:szCs w:val="22"/>
          <w:u w:val="single"/>
        </w:rPr>
        <w:t>, debido a la falta de aprobación de los estados financieros por parte de la Superintendencia Financiera de Colombia, se aplicará la calificación más baja posible y con base en ésta se calculará el factor de ajuste diferencial</w:t>
      </w:r>
      <w:r w:rsidR="0D35735C" w:rsidRPr="00DB62B8">
        <w:rPr>
          <w:rFonts w:ascii="Arial" w:eastAsia="Arial" w:hAnsi="Arial" w:cs="Arial"/>
          <w:b/>
          <w:bCs/>
          <w:color w:val="000000" w:themeColor="text1"/>
          <w:sz w:val="22"/>
          <w:szCs w:val="22"/>
          <w:u w:val="single"/>
        </w:rPr>
        <w:t xml:space="preserve"> (F</w:t>
      </w:r>
      <w:r w:rsidR="002B5FDC">
        <w:rPr>
          <w:rFonts w:ascii="Arial" w:eastAsia="Arial" w:hAnsi="Arial" w:cs="Arial"/>
          <w:b/>
          <w:bCs/>
          <w:color w:val="000000" w:themeColor="text1"/>
          <w:sz w:val="22"/>
          <w:szCs w:val="22"/>
          <w:u w:val="single"/>
        </w:rPr>
        <w:t>A</w:t>
      </w:r>
      <w:r w:rsidR="0D35735C" w:rsidRPr="00DB62B8">
        <w:rPr>
          <w:rFonts w:ascii="Arial" w:eastAsia="Arial" w:hAnsi="Arial" w:cs="Arial"/>
          <w:b/>
          <w:bCs/>
          <w:color w:val="000000" w:themeColor="text1"/>
          <w:sz w:val="22"/>
          <w:szCs w:val="22"/>
          <w:u w:val="single"/>
        </w:rPr>
        <w:t>D)</w:t>
      </w:r>
      <w:r w:rsidRPr="00DB62B8">
        <w:rPr>
          <w:rFonts w:ascii="Arial" w:eastAsia="Arial" w:hAnsi="Arial" w:cs="Arial"/>
          <w:b/>
          <w:bCs/>
          <w:color w:val="000000" w:themeColor="text1"/>
          <w:sz w:val="22"/>
          <w:szCs w:val="22"/>
          <w:u w:val="single"/>
        </w:rPr>
        <w:t>.</w:t>
      </w:r>
    </w:p>
    <w:p w14:paraId="21F97437" w14:textId="3DF87E48" w:rsidR="005E400B" w:rsidRPr="00DB62B8" w:rsidRDefault="005E400B" w:rsidP="005E400B">
      <w:pPr>
        <w:spacing w:before="240" w:after="240"/>
        <w:jc w:val="both"/>
        <w:rPr>
          <w:rFonts w:ascii="Arial" w:eastAsia="Arial" w:hAnsi="Arial" w:cs="Arial"/>
          <w:b/>
          <w:bCs/>
          <w:color w:val="000000" w:themeColor="text1"/>
          <w:sz w:val="22"/>
          <w:szCs w:val="22"/>
          <w:u w:val="single"/>
        </w:rPr>
      </w:pPr>
      <w:r w:rsidRPr="00DB62B8">
        <w:rPr>
          <w:rFonts w:ascii="Arial" w:eastAsia="Arial" w:hAnsi="Arial" w:cs="Arial"/>
          <w:b/>
          <w:bCs/>
          <w:color w:val="000000" w:themeColor="text1"/>
          <w:sz w:val="22"/>
          <w:szCs w:val="22"/>
          <w:u w:val="single"/>
        </w:rPr>
        <w:t>Si al momento del cálculo</w:t>
      </w:r>
      <w:r w:rsidR="007A66CF" w:rsidRPr="00DB62B8">
        <w:rPr>
          <w:rFonts w:ascii="Arial" w:eastAsia="Arial" w:hAnsi="Arial" w:cs="Arial"/>
          <w:b/>
          <w:bCs/>
          <w:color w:val="000000" w:themeColor="text1"/>
          <w:sz w:val="22"/>
          <w:szCs w:val="22"/>
          <w:u w:val="single"/>
        </w:rPr>
        <w:t xml:space="preserve"> del monto de los depósitos (MD)</w:t>
      </w:r>
      <w:r w:rsidRPr="00DB62B8">
        <w:rPr>
          <w:rFonts w:ascii="Arial" w:eastAsia="Arial" w:hAnsi="Arial" w:cs="Arial"/>
          <w:b/>
          <w:bCs/>
          <w:color w:val="000000" w:themeColor="text1"/>
          <w:sz w:val="22"/>
          <w:szCs w:val="22"/>
          <w:u w:val="single"/>
        </w:rPr>
        <w:t>, la entidad no cuenta con la información requerida para realizar el respectivo cálculo, éste se hará con base en la última información reportada a la Superintendencia Financiera de Colombia, disponible a dicha fecha.</w:t>
      </w:r>
    </w:p>
    <w:p w14:paraId="6F023823" w14:textId="6E1B627F" w:rsidR="005E400B" w:rsidRPr="00DB62B8" w:rsidRDefault="00AC7A53" w:rsidP="002305C0">
      <w:pPr>
        <w:spacing w:before="240" w:after="240"/>
        <w:jc w:val="both"/>
        <w:rPr>
          <w:rFonts w:ascii="Arial" w:eastAsia="Arial" w:hAnsi="Arial" w:cs="Arial"/>
          <w:color w:val="000000" w:themeColor="text1"/>
          <w:sz w:val="22"/>
          <w:szCs w:val="22"/>
          <w:u w:val="single"/>
        </w:rPr>
      </w:pPr>
      <w:r w:rsidRPr="00DB62B8">
        <w:rPr>
          <w:rFonts w:ascii="Arial" w:eastAsia="Arial" w:hAnsi="Arial" w:cs="Arial"/>
          <w:b/>
          <w:bCs/>
          <w:color w:val="000000" w:themeColor="text1"/>
          <w:sz w:val="22"/>
          <w:szCs w:val="22"/>
          <w:u w:val="single"/>
        </w:rPr>
        <w:lastRenderedPageBreak/>
        <w:t xml:space="preserve">Lo anterior, sin perjuicio de los intereses moratorios que podrá cobrar el Fondo, por las diferencias que se originen entre las cifras de los balances transmitidos y disponibles, de acuerdo con lo dispuesto en el artículo </w:t>
      </w:r>
      <w:r w:rsidR="008B73E3" w:rsidRPr="00DB62B8">
        <w:rPr>
          <w:rFonts w:ascii="Arial" w:eastAsia="Arial" w:hAnsi="Arial" w:cs="Arial"/>
          <w:b/>
          <w:bCs/>
          <w:color w:val="000000" w:themeColor="text1"/>
          <w:sz w:val="22"/>
          <w:szCs w:val="22"/>
          <w:u w:val="single"/>
        </w:rPr>
        <w:t>decimoprimero</w:t>
      </w:r>
      <w:r w:rsidRPr="00DB62B8">
        <w:rPr>
          <w:rFonts w:ascii="Arial" w:eastAsia="Arial" w:hAnsi="Arial" w:cs="Arial"/>
          <w:b/>
          <w:bCs/>
          <w:color w:val="000000" w:themeColor="text1"/>
          <w:sz w:val="22"/>
          <w:szCs w:val="22"/>
          <w:u w:val="single"/>
        </w:rPr>
        <w:t xml:space="preserve"> de esta Resolución.</w:t>
      </w:r>
    </w:p>
    <w:p w14:paraId="33E08621" w14:textId="50F81493" w:rsidR="002305C0" w:rsidRPr="004E4BA5" w:rsidRDefault="002305C0" w:rsidP="002305C0">
      <w:pPr>
        <w:spacing w:before="240" w:after="240"/>
        <w:jc w:val="both"/>
        <w:rPr>
          <w:rFonts w:ascii="Arial" w:eastAsia="Arial" w:hAnsi="Arial" w:cs="Arial"/>
          <w:b/>
          <w:bCs/>
          <w:color w:val="000000" w:themeColor="text1"/>
          <w:sz w:val="22"/>
          <w:szCs w:val="22"/>
          <w:u w:val="single"/>
        </w:rPr>
      </w:pPr>
      <w:r w:rsidRPr="004E4BA5">
        <w:rPr>
          <w:rFonts w:ascii="Arial" w:eastAsia="Arial" w:hAnsi="Arial" w:cs="Arial"/>
          <w:b/>
          <w:bCs/>
          <w:color w:val="000000" w:themeColor="text1"/>
          <w:sz w:val="22"/>
          <w:szCs w:val="22"/>
          <w:u w:val="single"/>
        </w:rPr>
        <w:t xml:space="preserve">PARÁGRAFO </w:t>
      </w:r>
      <w:r w:rsidR="00393519" w:rsidRPr="004E4BA5">
        <w:rPr>
          <w:rFonts w:ascii="Arial" w:eastAsia="Arial" w:hAnsi="Arial" w:cs="Arial"/>
          <w:b/>
          <w:bCs/>
          <w:color w:val="000000" w:themeColor="text1"/>
          <w:sz w:val="22"/>
          <w:szCs w:val="22"/>
          <w:u w:val="single"/>
        </w:rPr>
        <w:t>QUINTO</w:t>
      </w:r>
      <w:r w:rsidRPr="004E4BA5">
        <w:rPr>
          <w:rFonts w:ascii="Arial" w:eastAsia="Arial" w:hAnsi="Arial" w:cs="Arial"/>
          <w:b/>
          <w:bCs/>
          <w:color w:val="000000" w:themeColor="text1"/>
          <w:sz w:val="22"/>
          <w:szCs w:val="22"/>
          <w:u w:val="single"/>
        </w:rPr>
        <w:t xml:space="preserve">. Cuando se trate de SEDPES que hayan reportado estados financieros a la Superintendencia Financiera de Colombia por un término inferior a 24 meses o que lleven menos de 24 meses inscritas en el Fondo, su calificación de riesgo </w:t>
      </w:r>
      <w:r w:rsidR="3C95D676" w:rsidRPr="004E4BA5">
        <w:rPr>
          <w:rFonts w:ascii="Arial" w:eastAsia="Arial" w:hAnsi="Arial" w:cs="Arial"/>
          <w:b/>
          <w:bCs/>
          <w:color w:val="000000" w:themeColor="text1"/>
          <w:sz w:val="22"/>
          <w:szCs w:val="22"/>
          <w:u w:val="single"/>
        </w:rPr>
        <w:t>(CR)</w:t>
      </w:r>
      <w:r w:rsidRPr="004E4BA5">
        <w:rPr>
          <w:rFonts w:ascii="Arial" w:eastAsia="Arial" w:hAnsi="Arial" w:cs="Arial"/>
          <w:b/>
          <w:bCs/>
          <w:color w:val="000000" w:themeColor="text1"/>
          <w:sz w:val="22"/>
          <w:szCs w:val="22"/>
          <w:u w:val="single"/>
        </w:rPr>
        <w:t xml:space="preserve"> será 3</w:t>
      </w:r>
      <w:r w:rsidR="55D9C3CC" w:rsidRPr="004E4BA5">
        <w:rPr>
          <w:rFonts w:ascii="Arial" w:eastAsia="Arial" w:hAnsi="Arial" w:cs="Arial"/>
          <w:b/>
          <w:bCs/>
          <w:color w:val="000000" w:themeColor="text1"/>
          <w:sz w:val="22"/>
          <w:szCs w:val="22"/>
          <w:u w:val="single"/>
        </w:rPr>
        <w:t>.</w:t>
      </w:r>
      <w:r w:rsidRPr="004E4BA5">
        <w:rPr>
          <w:rFonts w:ascii="Arial" w:eastAsia="Arial" w:hAnsi="Arial" w:cs="Arial"/>
          <w:b/>
          <w:bCs/>
          <w:color w:val="000000" w:themeColor="text1"/>
          <w:sz w:val="22"/>
          <w:szCs w:val="22"/>
          <w:u w:val="single"/>
        </w:rPr>
        <w:t xml:space="preserve"> </w:t>
      </w:r>
      <w:r w:rsidR="72799FEA" w:rsidRPr="004E4BA5">
        <w:rPr>
          <w:rFonts w:ascii="Arial" w:eastAsia="Arial" w:hAnsi="Arial" w:cs="Arial"/>
          <w:b/>
          <w:bCs/>
          <w:color w:val="000000" w:themeColor="text1"/>
          <w:sz w:val="22"/>
          <w:szCs w:val="22"/>
          <w:u w:val="single"/>
        </w:rPr>
        <w:t>U</w:t>
      </w:r>
      <w:r w:rsidRPr="004E4BA5">
        <w:rPr>
          <w:rFonts w:ascii="Arial" w:eastAsia="Arial" w:hAnsi="Arial" w:cs="Arial"/>
          <w:b/>
          <w:bCs/>
          <w:color w:val="000000" w:themeColor="text1"/>
          <w:sz w:val="22"/>
          <w:szCs w:val="22"/>
          <w:u w:val="single"/>
        </w:rPr>
        <w:t>na vez cuenten con m</w:t>
      </w:r>
      <w:r w:rsidR="00434EAB" w:rsidRPr="004E4BA5">
        <w:rPr>
          <w:rFonts w:ascii="Arial" w:eastAsia="Arial" w:hAnsi="Arial" w:cs="Arial"/>
          <w:b/>
          <w:bCs/>
          <w:color w:val="000000" w:themeColor="text1"/>
          <w:sz w:val="22"/>
          <w:szCs w:val="22"/>
          <w:u w:val="single"/>
        </w:rPr>
        <w:t>á</w:t>
      </w:r>
      <w:r w:rsidRPr="004E4BA5">
        <w:rPr>
          <w:rFonts w:ascii="Arial" w:eastAsia="Arial" w:hAnsi="Arial" w:cs="Arial"/>
          <w:b/>
          <w:bCs/>
          <w:color w:val="000000" w:themeColor="text1"/>
          <w:sz w:val="22"/>
          <w:szCs w:val="22"/>
          <w:u w:val="single"/>
        </w:rPr>
        <w:t>s de 24 de mese</w:t>
      </w:r>
      <w:r w:rsidR="541719E7" w:rsidRPr="004E4BA5">
        <w:rPr>
          <w:rFonts w:ascii="Arial" w:eastAsia="Arial" w:hAnsi="Arial" w:cs="Arial"/>
          <w:b/>
          <w:bCs/>
          <w:color w:val="000000" w:themeColor="text1"/>
          <w:sz w:val="22"/>
          <w:szCs w:val="22"/>
          <w:u w:val="single"/>
        </w:rPr>
        <w:t>s</w:t>
      </w:r>
      <w:r w:rsidRPr="004E4BA5">
        <w:rPr>
          <w:rFonts w:ascii="Arial" w:eastAsia="Arial" w:hAnsi="Arial" w:cs="Arial"/>
          <w:b/>
          <w:bCs/>
          <w:color w:val="000000" w:themeColor="text1"/>
          <w:sz w:val="22"/>
          <w:szCs w:val="22"/>
          <w:u w:val="single"/>
        </w:rPr>
        <w:t xml:space="preserve"> de información</w:t>
      </w:r>
      <w:r w:rsidR="5D762459" w:rsidRPr="004E4BA5">
        <w:rPr>
          <w:rFonts w:ascii="Arial" w:eastAsia="Arial" w:hAnsi="Arial" w:cs="Arial"/>
          <w:b/>
          <w:bCs/>
          <w:color w:val="000000" w:themeColor="text1"/>
          <w:sz w:val="22"/>
          <w:szCs w:val="22"/>
          <w:u w:val="single"/>
        </w:rPr>
        <w:t>,</w:t>
      </w:r>
      <w:r w:rsidRPr="004E4BA5">
        <w:rPr>
          <w:rFonts w:ascii="Arial" w:eastAsia="Arial" w:hAnsi="Arial" w:cs="Arial"/>
          <w:b/>
          <w:bCs/>
          <w:color w:val="000000" w:themeColor="text1"/>
          <w:sz w:val="22"/>
          <w:szCs w:val="22"/>
          <w:u w:val="single"/>
        </w:rPr>
        <w:t xml:space="preserve"> su calificación se obtendrá conforme lo establecido en el parágrafo primero del presente artículo.</w:t>
      </w:r>
    </w:p>
    <w:p w14:paraId="6B769A1F" w14:textId="0136064A" w:rsidR="002305C0" w:rsidRPr="004E4BA5" w:rsidRDefault="002305C0" w:rsidP="002305C0">
      <w:pPr>
        <w:spacing w:before="240" w:after="240"/>
        <w:jc w:val="both"/>
        <w:rPr>
          <w:rFonts w:ascii="Arial" w:eastAsia="Arial" w:hAnsi="Arial" w:cs="Arial"/>
          <w:b/>
          <w:bCs/>
          <w:color w:val="000000" w:themeColor="text1"/>
          <w:sz w:val="22"/>
          <w:szCs w:val="22"/>
          <w:u w:val="single"/>
        </w:rPr>
      </w:pPr>
      <w:r w:rsidRPr="004E4BA5">
        <w:rPr>
          <w:rFonts w:ascii="Arial" w:eastAsia="Arial" w:hAnsi="Arial" w:cs="Arial"/>
          <w:b/>
          <w:bCs/>
          <w:color w:val="000000" w:themeColor="text1"/>
          <w:sz w:val="22"/>
          <w:szCs w:val="22"/>
          <w:u w:val="single"/>
        </w:rPr>
        <w:t xml:space="preserve">PARÁGRAFO </w:t>
      </w:r>
      <w:r w:rsidR="00393519" w:rsidRPr="004E4BA5">
        <w:rPr>
          <w:rFonts w:ascii="Arial" w:eastAsia="Arial" w:hAnsi="Arial" w:cs="Arial"/>
          <w:b/>
          <w:bCs/>
          <w:color w:val="000000" w:themeColor="text1"/>
          <w:sz w:val="22"/>
          <w:szCs w:val="22"/>
          <w:u w:val="single"/>
        </w:rPr>
        <w:t>SEXTO</w:t>
      </w:r>
      <w:r w:rsidRPr="004E4BA5">
        <w:rPr>
          <w:rFonts w:ascii="Arial" w:eastAsia="Arial" w:hAnsi="Arial" w:cs="Arial"/>
          <w:b/>
          <w:bCs/>
          <w:color w:val="000000" w:themeColor="text1"/>
          <w:sz w:val="22"/>
          <w:szCs w:val="22"/>
          <w:u w:val="single"/>
        </w:rPr>
        <w:t xml:space="preserve">. Cuando se trate de SEDPES inscritas en el Fondo que se hayan convertido durante el trimestre evaluado, en cualquier otra institución que deba estar inscrita, la calificación de riesgo </w:t>
      </w:r>
      <w:r w:rsidR="65A42530" w:rsidRPr="004E4BA5">
        <w:rPr>
          <w:rFonts w:ascii="Arial" w:eastAsia="Arial" w:hAnsi="Arial" w:cs="Arial"/>
          <w:b/>
          <w:bCs/>
          <w:color w:val="000000" w:themeColor="text1"/>
          <w:sz w:val="22"/>
          <w:szCs w:val="22"/>
          <w:u w:val="single"/>
        </w:rPr>
        <w:t>(CR)</w:t>
      </w:r>
      <w:r w:rsidRPr="004E4BA5">
        <w:rPr>
          <w:rFonts w:ascii="Arial" w:eastAsia="Arial" w:hAnsi="Arial" w:cs="Arial"/>
          <w:b/>
          <w:bCs/>
          <w:color w:val="000000" w:themeColor="text1"/>
          <w:sz w:val="22"/>
          <w:szCs w:val="22"/>
          <w:u w:val="single"/>
        </w:rPr>
        <w:t xml:space="preserve"> se calculará con base en la información correspondiente a los meses anteriores y posteriores a la conversión, asumiendo que no hubo solución de continuidad.</w:t>
      </w:r>
    </w:p>
    <w:p w14:paraId="3D9B76A4" w14:textId="739E3808" w:rsidR="00052E3B" w:rsidRPr="004E4BA5" w:rsidRDefault="00052E3B" w:rsidP="00052E3B">
      <w:pPr>
        <w:spacing w:before="240" w:after="240"/>
        <w:jc w:val="both"/>
        <w:rPr>
          <w:b/>
          <w:bCs/>
          <w:u w:val="single"/>
        </w:rPr>
      </w:pPr>
      <w:r w:rsidRPr="004E4BA5">
        <w:rPr>
          <w:rFonts w:ascii="Arial" w:eastAsia="Arial" w:hAnsi="Arial" w:cs="Arial"/>
          <w:b/>
          <w:bCs/>
          <w:color w:val="000000" w:themeColor="text1"/>
          <w:sz w:val="22"/>
          <w:szCs w:val="22"/>
          <w:u w:val="single"/>
        </w:rPr>
        <w:t xml:space="preserve">PARÁGRAFO </w:t>
      </w:r>
      <w:r w:rsidR="00393519" w:rsidRPr="004E4BA5">
        <w:rPr>
          <w:rFonts w:ascii="Arial" w:eastAsia="Arial" w:hAnsi="Arial" w:cs="Arial"/>
          <w:b/>
          <w:bCs/>
          <w:color w:val="000000" w:themeColor="text1"/>
          <w:sz w:val="22"/>
          <w:szCs w:val="22"/>
          <w:u w:val="single"/>
        </w:rPr>
        <w:t>SEPTIMO</w:t>
      </w:r>
      <w:r w:rsidRPr="004E4BA5">
        <w:rPr>
          <w:rFonts w:ascii="Arial" w:eastAsia="Arial" w:hAnsi="Arial" w:cs="Arial"/>
          <w:b/>
          <w:bCs/>
          <w:color w:val="000000" w:themeColor="text1"/>
          <w:sz w:val="22"/>
          <w:szCs w:val="22"/>
          <w:u w:val="single"/>
        </w:rPr>
        <w:t>. En el evento de fusión por absorción de instituciones inscritas, se tendrán en cuenta para efectos de la calificación</w:t>
      </w:r>
      <w:r w:rsidR="00600279" w:rsidRPr="004E4BA5">
        <w:rPr>
          <w:rFonts w:ascii="Arial" w:eastAsia="Arial" w:hAnsi="Arial" w:cs="Arial"/>
          <w:b/>
          <w:bCs/>
          <w:color w:val="000000" w:themeColor="text1"/>
          <w:sz w:val="22"/>
          <w:szCs w:val="22"/>
          <w:u w:val="single"/>
        </w:rPr>
        <w:t xml:space="preserve"> de riesgo</w:t>
      </w:r>
      <w:r w:rsidRPr="004E4BA5">
        <w:rPr>
          <w:rFonts w:ascii="Arial" w:eastAsia="Arial" w:hAnsi="Arial" w:cs="Arial"/>
          <w:b/>
          <w:bCs/>
          <w:color w:val="000000" w:themeColor="text1"/>
          <w:sz w:val="22"/>
          <w:szCs w:val="22"/>
          <w:u w:val="single"/>
        </w:rPr>
        <w:t>, los últimos estados financieros presentados por la entidad de menor tamaño y en el evento en que sus activos sean superiores al 30% de los activos registrados en los últimos estados financieros de la institución de mayor tamaño antes de la fusión, se aplicará a la entidad que resulte de la fusión una calificación</w:t>
      </w:r>
      <w:r w:rsidR="22E6E73D" w:rsidRPr="004E4BA5">
        <w:rPr>
          <w:rFonts w:ascii="Arial" w:eastAsia="Arial" w:hAnsi="Arial" w:cs="Arial"/>
          <w:b/>
          <w:bCs/>
          <w:color w:val="000000" w:themeColor="text1"/>
          <w:sz w:val="22"/>
          <w:szCs w:val="22"/>
          <w:u w:val="single"/>
        </w:rPr>
        <w:t xml:space="preserve"> </w:t>
      </w:r>
      <w:r w:rsidRPr="004E4BA5">
        <w:rPr>
          <w:rFonts w:ascii="Arial" w:eastAsia="Arial" w:hAnsi="Arial" w:cs="Arial"/>
          <w:b/>
          <w:bCs/>
          <w:color w:val="000000" w:themeColor="text1"/>
          <w:sz w:val="22"/>
          <w:szCs w:val="22"/>
          <w:u w:val="single"/>
        </w:rPr>
        <w:t>mensual de 3, para los 12 meses siguientes a la fusión. De lo contrario, se tomará la información histórica de la entidad de mayor tamaño.</w:t>
      </w:r>
    </w:p>
    <w:p w14:paraId="400377B2" w14:textId="58525554" w:rsidR="002305C0" w:rsidRPr="004E4BA5" w:rsidRDefault="002305C0" w:rsidP="002305C0">
      <w:pPr>
        <w:spacing w:before="240" w:after="240"/>
        <w:jc w:val="both"/>
        <w:rPr>
          <w:b/>
          <w:bCs/>
          <w:u w:val="single"/>
        </w:rPr>
      </w:pPr>
      <w:r w:rsidRPr="004E4BA5">
        <w:rPr>
          <w:rFonts w:ascii="Arial" w:eastAsia="Arial" w:hAnsi="Arial" w:cs="Arial"/>
          <w:b/>
          <w:bCs/>
          <w:color w:val="000000" w:themeColor="text1"/>
          <w:sz w:val="22"/>
          <w:szCs w:val="22"/>
          <w:u w:val="single"/>
        </w:rPr>
        <w:t xml:space="preserve">PARÁGRAFO </w:t>
      </w:r>
      <w:r w:rsidR="00393519" w:rsidRPr="004E4BA5">
        <w:rPr>
          <w:rFonts w:ascii="Arial" w:eastAsia="Arial" w:hAnsi="Arial" w:cs="Arial"/>
          <w:b/>
          <w:bCs/>
          <w:color w:val="000000" w:themeColor="text1"/>
          <w:sz w:val="22"/>
          <w:szCs w:val="22"/>
          <w:u w:val="single"/>
        </w:rPr>
        <w:t>OCTAVO</w:t>
      </w:r>
      <w:r w:rsidRPr="004E4BA5">
        <w:rPr>
          <w:rFonts w:ascii="Arial" w:eastAsia="Arial" w:hAnsi="Arial" w:cs="Arial"/>
          <w:b/>
          <w:bCs/>
          <w:color w:val="000000" w:themeColor="text1"/>
          <w:sz w:val="22"/>
          <w:szCs w:val="22"/>
          <w:u w:val="single"/>
        </w:rPr>
        <w:t xml:space="preserve">. En el caso de que una SEDPE durante el trimestre evaluado haya registrado un patrimonio total negativo, haya sido objeto de alguno de los institutos de salvamento contemplados en el Estatuto Orgánico del Sistema Financiero y/o haya sido objeto de toma de posesión por parte de la Superintendencia Financiera de Colombia, su calificación </w:t>
      </w:r>
      <w:r w:rsidR="1C7A3733" w:rsidRPr="004E4BA5">
        <w:rPr>
          <w:rFonts w:ascii="Arial" w:eastAsia="Arial" w:hAnsi="Arial" w:cs="Arial"/>
          <w:b/>
          <w:bCs/>
          <w:color w:val="000000" w:themeColor="text1"/>
          <w:sz w:val="22"/>
          <w:szCs w:val="22"/>
          <w:u w:val="single"/>
        </w:rPr>
        <w:t>mensual</w:t>
      </w:r>
      <w:r w:rsidRPr="004E4BA5">
        <w:rPr>
          <w:rFonts w:ascii="Arial" w:eastAsia="Arial" w:hAnsi="Arial" w:cs="Arial"/>
          <w:b/>
          <w:bCs/>
          <w:color w:val="000000" w:themeColor="text1"/>
          <w:sz w:val="22"/>
          <w:szCs w:val="22"/>
          <w:u w:val="single"/>
        </w:rPr>
        <w:t xml:space="preserve"> será de 1.</w:t>
      </w:r>
    </w:p>
    <w:p w14:paraId="580B98EE" w14:textId="47DB5A06" w:rsidR="00797106" w:rsidRPr="004E4BA5" w:rsidRDefault="00797106" w:rsidP="00797106">
      <w:pPr>
        <w:autoSpaceDE w:val="0"/>
        <w:autoSpaceDN w:val="0"/>
        <w:adjustRightInd w:val="0"/>
        <w:jc w:val="both"/>
        <w:rPr>
          <w:rFonts w:ascii="Arial" w:hAnsi="Arial" w:cs="Arial"/>
          <w:b/>
          <w:bCs/>
          <w:color w:val="000000"/>
          <w:sz w:val="22"/>
          <w:szCs w:val="22"/>
          <w:u w:val="single"/>
        </w:rPr>
      </w:pPr>
      <w:r w:rsidRPr="004E4BA5">
        <w:rPr>
          <w:rFonts w:ascii="Arial" w:hAnsi="Arial" w:cs="Arial"/>
          <w:b/>
          <w:bCs/>
          <w:color w:val="000000" w:themeColor="text1"/>
          <w:sz w:val="22"/>
          <w:szCs w:val="22"/>
          <w:u w:val="single"/>
        </w:rPr>
        <w:t xml:space="preserve">ARTÍCULO </w:t>
      </w:r>
      <w:r w:rsidR="00FE0591" w:rsidRPr="004E4BA5">
        <w:rPr>
          <w:rFonts w:ascii="Arial" w:hAnsi="Arial" w:cs="Arial"/>
          <w:b/>
          <w:bCs/>
          <w:color w:val="000000" w:themeColor="text1"/>
          <w:sz w:val="22"/>
          <w:szCs w:val="22"/>
          <w:u w:val="single"/>
        </w:rPr>
        <w:t>OCTAVO</w:t>
      </w:r>
      <w:r w:rsidRPr="004E4BA5">
        <w:rPr>
          <w:rFonts w:ascii="Arial" w:hAnsi="Arial" w:cs="Arial"/>
          <w:b/>
          <w:bCs/>
          <w:color w:val="000000" w:themeColor="text1"/>
          <w:sz w:val="22"/>
          <w:szCs w:val="22"/>
          <w:u w:val="single"/>
        </w:rPr>
        <w:t xml:space="preserve">. </w:t>
      </w:r>
      <w:r w:rsidR="00307B2E" w:rsidRPr="004E4BA5">
        <w:rPr>
          <w:rFonts w:ascii="Arial" w:hAnsi="Arial" w:cs="Arial"/>
          <w:b/>
          <w:bCs/>
          <w:color w:val="000000" w:themeColor="text1"/>
          <w:sz w:val="22"/>
          <w:szCs w:val="22"/>
          <w:u w:val="single"/>
        </w:rPr>
        <w:t xml:space="preserve">PERIODICIDAD </w:t>
      </w:r>
      <w:r w:rsidRPr="004E4BA5">
        <w:rPr>
          <w:rFonts w:ascii="Arial" w:hAnsi="Arial" w:cs="Arial"/>
          <w:b/>
          <w:bCs/>
          <w:color w:val="000000" w:themeColor="text1"/>
          <w:sz w:val="22"/>
          <w:szCs w:val="22"/>
          <w:u w:val="single"/>
        </w:rPr>
        <w:t>DE PAGO</w:t>
      </w:r>
      <w:r w:rsidR="000A6F68" w:rsidRPr="004E4BA5">
        <w:rPr>
          <w:rFonts w:ascii="Arial" w:hAnsi="Arial" w:cs="Arial"/>
          <w:b/>
          <w:bCs/>
          <w:color w:val="000000" w:themeColor="text1"/>
          <w:sz w:val="22"/>
          <w:szCs w:val="22"/>
          <w:u w:val="single"/>
        </w:rPr>
        <w:t xml:space="preserve"> DE LA</w:t>
      </w:r>
      <w:r w:rsidR="00BB5406">
        <w:rPr>
          <w:rFonts w:ascii="Arial" w:hAnsi="Arial" w:cs="Arial"/>
          <w:b/>
          <w:bCs/>
          <w:color w:val="000000" w:themeColor="text1"/>
          <w:sz w:val="22"/>
          <w:szCs w:val="22"/>
          <w:u w:val="single"/>
        </w:rPr>
        <w:t>S</w:t>
      </w:r>
      <w:r w:rsidR="000A6F68" w:rsidRPr="004E4BA5">
        <w:rPr>
          <w:rFonts w:ascii="Arial" w:hAnsi="Arial" w:cs="Arial"/>
          <w:b/>
          <w:bCs/>
          <w:color w:val="000000" w:themeColor="text1"/>
          <w:sz w:val="22"/>
          <w:szCs w:val="22"/>
          <w:u w:val="single"/>
        </w:rPr>
        <w:t xml:space="preserve"> PRIMA</w:t>
      </w:r>
      <w:r w:rsidR="00BB5406">
        <w:rPr>
          <w:rFonts w:ascii="Arial" w:hAnsi="Arial" w:cs="Arial"/>
          <w:b/>
          <w:bCs/>
          <w:color w:val="000000" w:themeColor="text1"/>
          <w:sz w:val="22"/>
          <w:szCs w:val="22"/>
          <w:u w:val="single"/>
        </w:rPr>
        <w:t>S</w:t>
      </w:r>
      <w:r w:rsidRPr="004E4BA5">
        <w:rPr>
          <w:rFonts w:ascii="Arial" w:hAnsi="Arial" w:cs="Arial"/>
          <w:b/>
          <w:bCs/>
          <w:color w:val="000000" w:themeColor="text1"/>
          <w:sz w:val="22"/>
          <w:szCs w:val="22"/>
          <w:u w:val="single"/>
        </w:rPr>
        <w:t>. El pago de la prima diferencial establecida en el artículo quinto</w:t>
      </w:r>
      <w:r w:rsidR="00393519" w:rsidRPr="004E4BA5">
        <w:rPr>
          <w:rFonts w:ascii="Arial" w:hAnsi="Arial" w:cs="Arial"/>
          <w:b/>
          <w:bCs/>
          <w:color w:val="000000" w:themeColor="text1"/>
          <w:sz w:val="22"/>
          <w:szCs w:val="22"/>
          <w:u w:val="single"/>
        </w:rPr>
        <w:t xml:space="preserve"> de la presente Resolución</w:t>
      </w:r>
      <w:r w:rsidRPr="004E4BA5">
        <w:rPr>
          <w:rFonts w:ascii="Arial" w:hAnsi="Arial" w:cs="Arial"/>
          <w:b/>
          <w:bCs/>
          <w:color w:val="000000" w:themeColor="text1"/>
          <w:sz w:val="22"/>
          <w:szCs w:val="22"/>
          <w:u w:val="single"/>
        </w:rPr>
        <w:t xml:space="preserve"> se realizará de forma trimestral y</w:t>
      </w:r>
      <w:r w:rsidR="090CFDC5" w:rsidRPr="004E4BA5">
        <w:rPr>
          <w:rFonts w:ascii="Arial" w:hAnsi="Arial" w:cs="Arial"/>
          <w:b/>
          <w:bCs/>
          <w:color w:val="000000" w:themeColor="text1"/>
          <w:sz w:val="22"/>
          <w:szCs w:val="22"/>
          <w:u w:val="single"/>
        </w:rPr>
        <w:t>,</w:t>
      </w:r>
      <w:r w:rsidRPr="004E4BA5">
        <w:rPr>
          <w:rFonts w:ascii="Arial" w:hAnsi="Arial" w:cs="Arial"/>
          <w:b/>
          <w:bCs/>
          <w:color w:val="000000" w:themeColor="text1"/>
          <w:sz w:val="22"/>
          <w:szCs w:val="22"/>
          <w:u w:val="single"/>
        </w:rPr>
        <w:t xml:space="preserve"> para el efecto</w:t>
      </w:r>
      <w:r w:rsidR="612B9915" w:rsidRPr="004E4BA5">
        <w:rPr>
          <w:rFonts w:ascii="Arial" w:hAnsi="Arial" w:cs="Arial"/>
          <w:b/>
          <w:bCs/>
          <w:color w:val="000000" w:themeColor="text1"/>
          <w:sz w:val="22"/>
          <w:szCs w:val="22"/>
          <w:u w:val="single"/>
        </w:rPr>
        <w:t>,</w:t>
      </w:r>
      <w:r w:rsidRPr="004E4BA5">
        <w:rPr>
          <w:rFonts w:ascii="Arial" w:hAnsi="Arial" w:cs="Arial"/>
          <w:b/>
          <w:bCs/>
          <w:color w:val="000000" w:themeColor="text1"/>
          <w:sz w:val="22"/>
          <w:szCs w:val="22"/>
          <w:u w:val="single"/>
        </w:rPr>
        <w:t xml:space="preserve"> el monto de los depósitos referido en el artículo quinto será el promedio simple de los saldos mensuales de los depósitos de bajo monto y de los depósitos ordinarios, para cada uno de los trimestres objeto de pago. </w:t>
      </w:r>
    </w:p>
    <w:p w14:paraId="46DF3070" w14:textId="77777777" w:rsidR="00797106" w:rsidRPr="004E4BA5" w:rsidRDefault="00797106" w:rsidP="00797106">
      <w:pPr>
        <w:autoSpaceDE w:val="0"/>
        <w:autoSpaceDN w:val="0"/>
        <w:adjustRightInd w:val="0"/>
        <w:jc w:val="both"/>
        <w:rPr>
          <w:rFonts w:ascii="Arial" w:hAnsi="Arial" w:cs="Arial"/>
          <w:b/>
          <w:bCs/>
          <w:color w:val="000000"/>
          <w:sz w:val="22"/>
          <w:szCs w:val="22"/>
          <w:u w:val="single"/>
        </w:rPr>
      </w:pPr>
    </w:p>
    <w:p w14:paraId="4AC02124" w14:textId="4FF6B734" w:rsidR="00797106" w:rsidRPr="005367E4" w:rsidRDefault="00797106" w:rsidP="00797106">
      <w:pPr>
        <w:autoSpaceDE w:val="0"/>
        <w:autoSpaceDN w:val="0"/>
        <w:adjustRightInd w:val="0"/>
        <w:jc w:val="both"/>
        <w:rPr>
          <w:rFonts w:ascii="Arial" w:hAnsi="Arial" w:cs="Arial"/>
          <w:sz w:val="22"/>
          <w:szCs w:val="22"/>
        </w:rPr>
      </w:pPr>
      <w:r w:rsidRPr="004E4BA5">
        <w:rPr>
          <w:rFonts w:ascii="Arial" w:hAnsi="Arial" w:cs="Arial"/>
          <w:b/>
          <w:bCs/>
          <w:color w:val="000000"/>
          <w:sz w:val="22"/>
          <w:szCs w:val="22"/>
          <w:u w:val="single"/>
        </w:rPr>
        <w:t xml:space="preserve">La forma de pago será por trimestre calendario vencido y deberán ser entregadas al Fondo dentro de los tres (3) últimos días hábiles de los </w:t>
      </w:r>
      <w:r w:rsidRPr="004E4BA5">
        <w:rPr>
          <w:rFonts w:ascii="Arial" w:hAnsi="Arial" w:cs="Arial"/>
          <w:b/>
          <w:bCs/>
          <w:sz w:val="22"/>
          <w:szCs w:val="22"/>
          <w:u w:val="single"/>
        </w:rPr>
        <w:t>meses de julio, octubre, enero y abril, de la siguiente manera:</w:t>
      </w:r>
    </w:p>
    <w:p w14:paraId="47C42D75" w14:textId="77777777" w:rsidR="00797106" w:rsidRDefault="00797106" w:rsidP="00797106">
      <w:pPr>
        <w:autoSpaceDE w:val="0"/>
        <w:autoSpaceDN w:val="0"/>
        <w:adjustRightInd w:val="0"/>
        <w:jc w:val="both"/>
        <w:rPr>
          <w:rFonts w:ascii="Arial" w:hAnsi="Arial" w:cs="Arial"/>
          <w:sz w:val="22"/>
          <w:szCs w:val="22"/>
        </w:rPr>
      </w:pPr>
    </w:p>
    <w:p w14:paraId="4C10C801" w14:textId="77777777" w:rsidR="00797106" w:rsidRPr="005367E4" w:rsidDel="00863253" w:rsidRDefault="00797106" w:rsidP="00797106">
      <w:pPr>
        <w:autoSpaceDE w:val="0"/>
        <w:autoSpaceDN w:val="0"/>
        <w:adjustRightInd w:val="0"/>
        <w:jc w:val="both"/>
        <w:rPr>
          <w:rFonts w:ascii="Arial" w:hAnsi="Arial" w:cs="Arial"/>
          <w:sz w:val="22"/>
          <w:szCs w:val="22"/>
        </w:rPr>
      </w:pPr>
    </w:p>
    <w:tbl>
      <w:tblPr>
        <w:tblW w:w="6000" w:type="dxa"/>
        <w:jc w:val="center"/>
        <w:tblCellMar>
          <w:left w:w="70" w:type="dxa"/>
          <w:right w:w="70" w:type="dxa"/>
        </w:tblCellMar>
        <w:tblLook w:val="04A0" w:firstRow="1" w:lastRow="0" w:firstColumn="1" w:lastColumn="0" w:noHBand="0" w:noVBand="1"/>
      </w:tblPr>
      <w:tblGrid>
        <w:gridCol w:w="2760"/>
        <w:gridCol w:w="3240"/>
      </w:tblGrid>
      <w:tr w:rsidR="00797106" w:rsidRPr="005367E4" w14:paraId="1BC69697" w14:textId="77777777">
        <w:trPr>
          <w:trHeight w:val="300"/>
          <w:jc w:val="center"/>
        </w:trPr>
        <w:tc>
          <w:tcPr>
            <w:tcW w:w="2760" w:type="dxa"/>
            <w:tcBorders>
              <w:top w:val="single" w:sz="4" w:space="0" w:color="auto"/>
              <w:left w:val="single" w:sz="4" w:space="0" w:color="auto"/>
              <w:bottom w:val="single" w:sz="4" w:space="0" w:color="auto"/>
              <w:right w:val="single" w:sz="4" w:space="0" w:color="auto"/>
            </w:tcBorders>
            <w:noWrap/>
            <w:vAlign w:val="bottom"/>
            <w:hideMark/>
          </w:tcPr>
          <w:p w14:paraId="3AD5BAC9" w14:textId="77777777" w:rsidR="00797106" w:rsidRPr="005367E4" w:rsidRDefault="00797106">
            <w:pPr>
              <w:jc w:val="center"/>
              <w:rPr>
                <w:rFonts w:ascii="Arial" w:hAnsi="Arial" w:cs="Arial"/>
                <w:b/>
                <w:bCs/>
                <w:sz w:val="22"/>
                <w:szCs w:val="22"/>
                <w:lang w:val="es-CO" w:eastAsia="es-CO"/>
              </w:rPr>
            </w:pPr>
            <w:bookmarkStart w:id="0" w:name="_Hlk159428909"/>
            <w:r w:rsidRPr="005367E4">
              <w:rPr>
                <w:rFonts w:ascii="Arial" w:hAnsi="Arial" w:cs="Arial"/>
                <w:b/>
                <w:bCs/>
                <w:sz w:val="22"/>
                <w:szCs w:val="22"/>
                <w:lang w:val="es-CO" w:eastAsia="es-CO"/>
              </w:rPr>
              <w:lastRenderedPageBreak/>
              <w:t>Trimestre base de cálculo</w:t>
            </w:r>
          </w:p>
        </w:tc>
        <w:tc>
          <w:tcPr>
            <w:tcW w:w="3240" w:type="dxa"/>
            <w:tcBorders>
              <w:top w:val="single" w:sz="4" w:space="0" w:color="auto"/>
              <w:left w:val="nil"/>
              <w:bottom w:val="single" w:sz="4" w:space="0" w:color="auto"/>
              <w:right w:val="single" w:sz="4" w:space="0" w:color="auto"/>
            </w:tcBorders>
            <w:noWrap/>
            <w:vAlign w:val="bottom"/>
            <w:hideMark/>
          </w:tcPr>
          <w:p w14:paraId="346B847E" w14:textId="77777777" w:rsidR="00797106" w:rsidRPr="005367E4" w:rsidRDefault="00797106">
            <w:pPr>
              <w:jc w:val="center"/>
              <w:rPr>
                <w:rFonts w:ascii="Arial" w:hAnsi="Arial" w:cs="Arial"/>
                <w:b/>
                <w:bCs/>
                <w:sz w:val="22"/>
                <w:szCs w:val="22"/>
                <w:lang w:val="es-CO" w:eastAsia="es-CO"/>
              </w:rPr>
            </w:pPr>
            <w:r w:rsidRPr="005367E4">
              <w:rPr>
                <w:rFonts w:ascii="Arial" w:hAnsi="Arial" w:cs="Arial"/>
                <w:b/>
                <w:bCs/>
                <w:sz w:val="22"/>
                <w:szCs w:val="22"/>
                <w:lang w:val="es-CO" w:eastAsia="es-CO"/>
              </w:rPr>
              <w:t>Mes de pago</w:t>
            </w:r>
          </w:p>
        </w:tc>
      </w:tr>
      <w:tr w:rsidR="00797106" w:rsidRPr="005367E4" w14:paraId="6717ADF1" w14:textId="77777777">
        <w:trPr>
          <w:trHeight w:val="300"/>
          <w:jc w:val="center"/>
        </w:trPr>
        <w:tc>
          <w:tcPr>
            <w:tcW w:w="2760" w:type="dxa"/>
            <w:tcBorders>
              <w:top w:val="nil"/>
              <w:left w:val="single" w:sz="4" w:space="0" w:color="auto"/>
              <w:bottom w:val="single" w:sz="4" w:space="0" w:color="auto"/>
              <w:right w:val="single" w:sz="4" w:space="0" w:color="auto"/>
            </w:tcBorders>
            <w:noWrap/>
            <w:vAlign w:val="bottom"/>
            <w:hideMark/>
          </w:tcPr>
          <w:p w14:paraId="2C8BD6E7" w14:textId="77777777" w:rsidR="00797106" w:rsidRPr="005367E4" w:rsidRDefault="00797106">
            <w:pPr>
              <w:jc w:val="center"/>
              <w:rPr>
                <w:rFonts w:ascii="Arial" w:hAnsi="Arial" w:cs="Arial"/>
                <w:sz w:val="22"/>
                <w:szCs w:val="22"/>
                <w:lang w:val="es-CO" w:eastAsia="es-CO"/>
              </w:rPr>
            </w:pPr>
            <w:r w:rsidRPr="005367E4">
              <w:rPr>
                <w:rFonts w:ascii="Arial" w:hAnsi="Arial" w:cs="Arial"/>
                <w:sz w:val="22"/>
                <w:szCs w:val="22"/>
                <w:lang w:val="es-CO" w:eastAsia="es-CO"/>
              </w:rPr>
              <w:t>Enero - Marzo</w:t>
            </w:r>
          </w:p>
        </w:tc>
        <w:tc>
          <w:tcPr>
            <w:tcW w:w="3240" w:type="dxa"/>
            <w:tcBorders>
              <w:top w:val="nil"/>
              <w:left w:val="nil"/>
              <w:bottom w:val="single" w:sz="4" w:space="0" w:color="auto"/>
              <w:right w:val="single" w:sz="4" w:space="0" w:color="auto"/>
            </w:tcBorders>
            <w:noWrap/>
            <w:vAlign w:val="bottom"/>
            <w:hideMark/>
          </w:tcPr>
          <w:p w14:paraId="0BC030AA" w14:textId="77777777" w:rsidR="00797106" w:rsidRPr="005367E4" w:rsidRDefault="00797106">
            <w:pPr>
              <w:jc w:val="center"/>
              <w:rPr>
                <w:rFonts w:ascii="Arial" w:hAnsi="Arial" w:cs="Arial"/>
                <w:sz w:val="22"/>
                <w:szCs w:val="22"/>
                <w:lang w:val="es-CO" w:eastAsia="es-CO"/>
              </w:rPr>
            </w:pPr>
            <w:r w:rsidRPr="005367E4">
              <w:rPr>
                <w:rFonts w:ascii="Arial" w:hAnsi="Arial" w:cs="Arial"/>
                <w:sz w:val="22"/>
                <w:szCs w:val="22"/>
                <w:lang w:val="es-CO" w:eastAsia="es-CO"/>
              </w:rPr>
              <w:t>Julio año en curso</w:t>
            </w:r>
          </w:p>
        </w:tc>
      </w:tr>
      <w:tr w:rsidR="00797106" w:rsidRPr="005367E4" w14:paraId="14680AFE" w14:textId="77777777">
        <w:trPr>
          <w:trHeight w:val="300"/>
          <w:jc w:val="center"/>
        </w:trPr>
        <w:tc>
          <w:tcPr>
            <w:tcW w:w="2760" w:type="dxa"/>
            <w:tcBorders>
              <w:top w:val="nil"/>
              <w:left w:val="single" w:sz="4" w:space="0" w:color="auto"/>
              <w:bottom w:val="single" w:sz="4" w:space="0" w:color="auto"/>
              <w:right w:val="single" w:sz="4" w:space="0" w:color="auto"/>
            </w:tcBorders>
            <w:noWrap/>
            <w:vAlign w:val="bottom"/>
            <w:hideMark/>
          </w:tcPr>
          <w:p w14:paraId="1278DBA2" w14:textId="77777777" w:rsidR="00797106" w:rsidRPr="005367E4" w:rsidRDefault="00797106">
            <w:pPr>
              <w:jc w:val="center"/>
              <w:rPr>
                <w:rFonts w:ascii="Arial" w:hAnsi="Arial" w:cs="Arial"/>
                <w:sz w:val="22"/>
                <w:szCs w:val="22"/>
                <w:lang w:val="es-CO" w:eastAsia="es-CO"/>
              </w:rPr>
            </w:pPr>
            <w:r w:rsidRPr="005367E4">
              <w:rPr>
                <w:rFonts w:ascii="Arial" w:hAnsi="Arial" w:cs="Arial"/>
                <w:sz w:val="22"/>
                <w:szCs w:val="22"/>
                <w:lang w:val="es-CO" w:eastAsia="es-CO"/>
              </w:rPr>
              <w:t>Abril - Junio</w:t>
            </w:r>
          </w:p>
        </w:tc>
        <w:tc>
          <w:tcPr>
            <w:tcW w:w="3240" w:type="dxa"/>
            <w:tcBorders>
              <w:top w:val="nil"/>
              <w:left w:val="nil"/>
              <w:bottom w:val="single" w:sz="4" w:space="0" w:color="auto"/>
              <w:right w:val="single" w:sz="4" w:space="0" w:color="auto"/>
            </w:tcBorders>
            <w:noWrap/>
            <w:vAlign w:val="bottom"/>
            <w:hideMark/>
          </w:tcPr>
          <w:p w14:paraId="418E8A9A" w14:textId="77777777" w:rsidR="00797106" w:rsidRPr="005367E4" w:rsidRDefault="00797106">
            <w:pPr>
              <w:jc w:val="center"/>
              <w:rPr>
                <w:rFonts w:ascii="Arial" w:hAnsi="Arial" w:cs="Arial"/>
                <w:sz w:val="22"/>
                <w:szCs w:val="22"/>
                <w:lang w:val="es-CO" w:eastAsia="es-CO"/>
              </w:rPr>
            </w:pPr>
            <w:r w:rsidRPr="005367E4">
              <w:rPr>
                <w:rFonts w:ascii="Arial" w:hAnsi="Arial" w:cs="Arial"/>
                <w:sz w:val="22"/>
                <w:szCs w:val="22"/>
                <w:lang w:val="es-CO" w:eastAsia="es-CO"/>
              </w:rPr>
              <w:t>Octubre año en curso</w:t>
            </w:r>
          </w:p>
        </w:tc>
      </w:tr>
      <w:tr w:rsidR="00797106" w:rsidRPr="005367E4" w14:paraId="242185A0" w14:textId="77777777">
        <w:trPr>
          <w:trHeight w:val="300"/>
          <w:jc w:val="center"/>
        </w:trPr>
        <w:tc>
          <w:tcPr>
            <w:tcW w:w="2760" w:type="dxa"/>
            <w:tcBorders>
              <w:top w:val="nil"/>
              <w:left w:val="single" w:sz="4" w:space="0" w:color="auto"/>
              <w:bottom w:val="single" w:sz="4" w:space="0" w:color="auto"/>
              <w:right w:val="single" w:sz="4" w:space="0" w:color="auto"/>
            </w:tcBorders>
            <w:noWrap/>
            <w:vAlign w:val="bottom"/>
            <w:hideMark/>
          </w:tcPr>
          <w:p w14:paraId="767A6BF7" w14:textId="77777777" w:rsidR="00797106" w:rsidRPr="005367E4" w:rsidRDefault="00797106">
            <w:pPr>
              <w:jc w:val="center"/>
              <w:rPr>
                <w:rFonts w:ascii="Arial" w:hAnsi="Arial" w:cs="Arial"/>
                <w:sz w:val="22"/>
                <w:szCs w:val="22"/>
                <w:lang w:val="es-CO" w:eastAsia="es-CO"/>
              </w:rPr>
            </w:pPr>
            <w:r w:rsidRPr="005367E4">
              <w:rPr>
                <w:rFonts w:ascii="Arial" w:hAnsi="Arial" w:cs="Arial"/>
                <w:sz w:val="22"/>
                <w:szCs w:val="22"/>
                <w:lang w:val="es-CO" w:eastAsia="es-CO"/>
              </w:rPr>
              <w:t>Julio - Septiembre</w:t>
            </w:r>
          </w:p>
        </w:tc>
        <w:tc>
          <w:tcPr>
            <w:tcW w:w="3240" w:type="dxa"/>
            <w:tcBorders>
              <w:top w:val="nil"/>
              <w:left w:val="nil"/>
              <w:bottom w:val="single" w:sz="4" w:space="0" w:color="auto"/>
              <w:right w:val="single" w:sz="4" w:space="0" w:color="auto"/>
            </w:tcBorders>
            <w:noWrap/>
            <w:vAlign w:val="bottom"/>
            <w:hideMark/>
          </w:tcPr>
          <w:p w14:paraId="518CDDB0" w14:textId="77777777" w:rsidR="00797106" w:rsidRPr="005367E4" w:rsidRDefault="00797106">
            <w:pPr>
              <w:jc w:val="center"/>
              <w:rPr>
                <w:rFonts w:ascii="Arial" w:hAnsi="Arial" w:cs="Arial"/>
                <w:sz w:val="22"/>
                <w:szCs w:val="22"/>
                <w:lang w:val="es-CO" w:eastAsia="es-CO"/>
              </w:rPr>
            </w:pPr>
            <w:r w:rsidRPr="005367E4">
              <w:rPr>
                <w:rFonts w:ascii="Arial" w:hAnsi="Arial" w:cs="Arial"/>
                <w:sz w:val="22"/>
                <w:szCs w:val="22"/>
                <w:lang w:val="es-CO" w:eastAsia="es-CO"/>
              </w:rPr>
              <w:t>Enero año siguiente</w:t>
            </w:r>
          </w:p>
        </w:tc>
      </w:tr>
      <w:tr w:rsidR="00797106" w:rsidRPr="005367E4" w14:paraId="54592931" w14:textId="77777777">
        <w:trPr>
          <w:trHeight w:val="300"/>
          <w:jc w:val="center"/>
        </w:trPr>
        <w:tc>
          <w:tcPr>
            <w:tcW w:w="2760" w:type="dxa"/>
            <w:tcBorders>
              <w:top w:val="nil"/>
              <w:left w:val="single" w:sz="4" w:space="0" w:color="auto"/>
              <w:bottom w:val="single" w:sz="4" w:space="0" w:color="auto"/>
              <w:right w:val="single" w:sz="4" w:space="0" w:color="auto"/>
            </w:tcBorders>
            <w:noWrap/>
            <w:vAlign w:val="bottom"/>
            <w:hideMark/>
          </w:tcPr>
          <w:p w14:paraId="3510190D" w14:textId="77777777" w:rsidR="00797106" w:rsidRPr="005367E4" w:rsidRDefault="00797106">
            <w:pPr>
              <w:jc w:val="center"/>
              <w:rPr>
                <w:rFonts w:ascii="Arial" w:hAnsi="Arial" w:cs="Arial"/>
                <w:sz w:val="22"/>
                <w:szCs w:val="22"/>
                <w:lang w:val="es-CO" w:eastAsia="es-CO"/>
              </w:rPr>
            </w:pPr>
            <w:r w:rsidRPr="005367E4">
              <w:rPr>
                <w:rFonts w:ascii="Arial" w:hAnsi="Arial" w:cs="Arial"/>
                <w:sz w:val="22"/>
                <w:szCs w:val="22"/>
                <w:lang w:val="es-CO" w:eastAsia="es-CO"/>
              </w:rPr>
              <w:t xml:space="preserve">Octubre - Diciembre </w:t>
            </w:r>
          </w:p>
        </w:tc>
        <w:tc>
          <w:tcPr>
            <w:tcW w:w="3240" w:type="dxa"/>
            <w:tcBorders>
              <w:top w:val="nil"/>
              <w:left w:val="nil"/>
              <w:bottom w:val="single" w:sz="4" w:space="0" w:color="auto"/>
              <w:right w:val="single" w:sz="4" w:space="0" w:color="auto"/>
            </w:tcBorders>
            <w:noWrap/>
            <w:vAlign w:val="bottom"/>
            <w:hideMark/>
          </w:tcPr>
          <w:p w14:paraId="459DDDF7" w14:textId="77777777" w:rsidR="00797106" w:rsidRPr="005367E4" w:rsidRDefault="00797106">
            <w:pPr>
              <w:jc w:val="center"/>
              <w:rPr>
                <w:rFonts w:ascii="Arial" w:hAnsi="Arial" w:cs="Arial"/>
                <w:sz w:val="22"/>
                <w:szCs w:val="22"/>
                <w:lang w:val="es-CO" w:eastAsia="es-CO"/>
              </w:rPr>
            </w:pPr>
            <w:r w:rsidRPr="005367E4">
              <w:rPr>
                <w:rFonts w:ascii="Arial" w:hAnsi="Arial" w:cs="Arial"/>
                <w:sz w:val="22"/>
                <w:szCs w:val="22"/>
                <w:lang w:val="es-CO" w:eastAsia="es-CO"/>
              </w:rPr>
              <w:t>Abril año siguiente</w:t>
            </w:r>
          </w:p>
        </w:tc>
      </w:tr>
      <w:bookmarkEnd w:id="0"/>
    </w:tbl>
    <w:p w14:paraId="7B8E1C2E" w14:textId="77777777" w:rsidR="00797106" w:rsidRPr="005367E4" w:rsidRDefault="00797106" w:rsidP="00797106">
      <w:pPr>
        <w:autoSpaceDE w:val="0"/>
        <w:autoSpaceDN w:val="0"/>
        <w:adjustRightInd w:val="0"/>
        <w:jc w:val="both"/>
        <w:rPr>
          <w:rFonts w:ascii="Arial" w:hAnsi="Arial" w:cs="Arial"/>
          <w:color w:val="000000"/>
          <w:sz w:val="22"/>
          <w:szCs w:val="22"/>
        </w:rPr>
      </w:pPr>
    </w:p>
    <w:p w14:paraId="15DC19AF" w14:textId="6F00B1CC" w:rsidR="00797106" w:rsidRPr="005367E4" w:rsidRDefault="00797106" w:rsidP="00797106">
      <w:pPr>
        <w:autoSpaceDE w:val="0"/>
        <w:autoSpaceDN w:val="0"/>
        <w:adjustRightInd w:val="0"/>
        <w:jc w:val="both"/>
        <w:rPr>
          <w:rFonts w:ascii="Arial" w:hAnsi="Arial" w:cs="Arial"/>
          <w:color w:val="000000"/>
          <w:sz w:val="22"/>
          <w:szCs w:val="22"/>
        </w:rPr>
      </w:pPr>
      <w:r w:rsidRPr="491408AF">
        <w:rPr>
          <w:rFonts w:ascii="Arial" w:hAnsi="Arial" w:cs="Arial"/>
          <w:color w:val="000000" w:themeColor="text1"/>
          <w:sz w:val="22"/>
          <w:szCs w:val="22"/>
        </w:rPr>
        <w:t xml:space="preserve">Si el pago se hace el último día hábil, </w:t>
      </w:r>
      <w:r w:rsidR="5D587A84" w:rsidRPr="491408AF">
        <w:rPr>
          <w:rFonts w:ascii="Arial" w:hAnsi="Arial" w:cs="Arial"/>
          <w:color w:val="000000" w:themeColor="text1"/>
          <w:sz w:val="22"/>
          <w:szCs w:val="22"/>
        </w:rPr>
        <w:t>é</w:t>
      </w:r>
      <w:r w:rsidRPr="491408AF">
        <w:rPr>
          <w:rFonts w:ascii="Arial" w:hAnsi="Arial" w:cs="Arial"/>
          <w:color w:val="000000" w:themeColor="text1"/>
          <w:sz w:val="22"/>
          <w:szCs w:val="22"/>
        </w:rPr>
        <w:t>ste deberá ser realizado a más tardar a las 5 p.m.</w:t>
      </w:r>
    </w:p>
    <w:p w14:paraId="37D2038D" w14:textId="77777777" w:rsidR="00797106" w:rsidRPr="005367E4" w:rsidRDefault="00797106" w:rsidP="00797106">
      <w:pPr>
        <w:autoSpaceDE w:val="0"/>
        <w:autoSpaceDN w:val="0"/>
        <w:adjustRightInd w:val="0"/>
        <w:jc w:val="both"/>
        <w:rPr>
          <w:rFonts w:ascii="Arial" w:hAnsi="Arial" w:cs="Arial"/>
          <w:color w:val="000000"/>
          <w:sz w:val="22"/>
          <w:szCs w:val="22"/>
        </w:rPr>
      </w:pPr>
    </w:p>
    <w:p w14:paraId="0EDEFBD0" w14:textId="77777777" w:rsidR="00797106" w:rsidRPr="005367E4" w:rsidRDefault="00797106" w:rsidP="00797106">
      <w:pPr>
        <w:jc w:val="both"/>
        <w:rPr>
          <w:rFonts w:ascii="Arial" w:hAnsi="Arial" w:cs="Arial"/>
          <w:color w:val="000000"/>
          <w:sz w:val="22"/>
          <w:szCs w:val="22"/>
        </w:rPr>
      </w:pPr>
      <w:r w:rsidRPr="005367E4">
        <w:rPr>
          <w:rFonts w:ascii="Arial" w:hAnsi="Arial" w:cs="Arial"/>
          <w:color w:val="000000"/>
          <w:sz w:val="22"/>
          <w:szCs w:val="22"/>
        </w:rPr>
        <w:t xml:space="preserve">En caso de que una situación de carácter general lo haga necesario, el Fondo mediante circular dirigida a todas las SEDPES inscritas podrá modificar las fechas antes indicadas. </w:t>
      </w:r>
    </w:p>
    <w:p w14:paraId="1B6F07E6" w14:textId="77777777" w:rsidR="00797106" w:rsidRPr="005367E4" w:rsidRDefault="00797106" w:rsidP="00797106">
      <w:pPr>
        <w:jc w:val="both"/>
        <w:rPr>
          <w:rFonts w:ascii="Arial" w:hAnsi="Arial" w:cs="Arial"/>
          <w:color w:val="000000"/>
          <w:sz w:val="22"/>
          <w:szCs w:val="22"/>
        </w:rPr>
      </w:pPr>
    </w:p>
    <w:p w14:paraId="0D8EB1EA" w14:textId="63D7CD69" w:rsidR="00797106" w:rsidRPr="005367E4" w:rsidRDefault="00797106" w:rsidP="00797106">
      <w:pPr>
        <w:autoSpaceDE w:val="0"/>
        <w:autoSpaceDN w:val="0"/>
        <w:adjustRightInd w:val="0"/>
        <w:jc w:val="both"/>
        <w:rPr>
          <w:rFonts w:ascii="Arial" w:hAnsi="Arial" w:cs="Arial"/>
          <w:color w:val="000000"/>
          <w:sz w:val="22"/>
          <w:szCs w:val="22"/>
        </w:rPr>
      </w:pPr>
      <w:r w:rsidRPr="005367E4">
        <w:rPr>
          <w:rFonts w:ascii="Arial" w:hAnsi="Arial" w:cs="Arial"/>
          <w:b/>
          <w:color w:val="000000"/>
          <w:sz w:val="22"/>
          <w:szCs w:val="22"/>
        </w:rPr>
        <w:t xml:space="preserve">PARÁGRAFO </w:t>
      </w:r>
      <w:r>
        <w:rPr>
          <w:rFonts w:ascii="Arial" w:hAnsi="Arial" w:cs="Arial"/>
          <w:b/>
          <w:color w:val="000000"/>
          <w:sz w:val="22"/>
          <w:szCs w:val="22"/>
        </w:rPr>
        <w:t>PRIMERO</w:t>
      </w:r>
      <w:r w:rsidRPr="005367E4">
        <w:rPr>
          <w:rFonts w:ascii="Arial" w:hAnsi="Arial" w:cs="Arial"/>
          <w:b/>
          <w:color w:val="000000"/>
          <w:sz w:val="22"/>
          <w:szCs w:val="22"/>
        </w:rPr>
        <w:t xml:space="preserve">. </w:t>
      </w:r>
      <w:r>
        <w:rPr>
          <w:rFonts w:ascii="Arial" w:hAnsi="Arial" w:cs="Arial"/>
          <w:color w:val="000000"/>
          <w:sz w:val="22"/>
          <w:szCs w:val="22"/>
        </w:rPr>
        <w:t xml:space="preserve">Se entenderá </w:t>
      </w:r>
      <w:r w:rsidRPr="005367E4">
        <w:rPr>
          <w:rFonts w:ascii="Arial" w:hAnsi="Arial" w:cs="Arial"/>
          <w:color w:val="000000"/>
          <w:sz w:val="22"/>
          <w:szCs w:val="22"/>
        </w:rPr>
        <w:t>por trimestre calendario aquel que termina en marzo, junio, septiembre y diciembre de cada año.</w:t>
      </w:r>
    </w:p>
    <w:p w14:paraId="364C09B1" w14:textId="77777777" w:rsidR="00797106" w:rsidRPr="005367E4" w:rsidRDefault="00797106" w:rsidP="00797106">
      <w:pPr>
        <w:autoSpaceDE w:val="0"/>
        <w:autoSpaceDN w:val="0"/>
        <w:adjustRightInd w:val="0"/>
        <w:jc w:val="both"/>
        <w:rPr>
          <w:rFonts w:ascii="Arial" w:hAnsi="Arial" w:cs="Arial"/>
          <w:b/>
          <w:bCs/>
          <w:color w:val="000000"/>
          <w:sz w:val="22"/>
          <w:szCs w:val="22"/>
        </w:rPr>
      </w:pPr>
    </w:p>
    <w:p w14:paraId="633A6064" w14:textId="08A05CAE" w:rsidR="00797106" w:rsidRPr="004E4BA5" w:rsidRDefault="00797106" w:rsidP="491408AF">
      <w:pPr>
        <w:autoSpaceDE w:val="0"/>
        <w:autoSpaceDN w:val="0"/>
        <w:adjustRightInd w:val="0"/>
        <w:jc w:val="both"/>
        <w:rPr>
          <w:rFonts w:ascii="Arial" w:hAnsi="Arial" w:cs="Arial"/>
          <w:color w:val="000000"/>
          <w:sz w:val="22"/>
          <w:szCs w:val="22"/>
        </w:rPr>
      </w:pPr>
      <w:r w:rsidRPr="491408AF">
        <w:rPr>
          <w:rFonts w:ascii="Arial" w:hAnsi="Arial" w:cs="Arial"/>
          <w:b/>
          <w:bCs/>
          <w:sz w:val="22"/>
          <w:szCs w:val="22"/>
        </w:rPr>
        <w:t xml:space="preserve">PARÁGRAFO </w:t>
      </w:r>
      <w:r w:rsidR="00393519" w:rsidRPr="491408AF">
        <w:rPr>
          <w:rFonts w:ascii="Arial" w:hAnsi="Arial" w:cs="Arial"/>
          <w:b/>
          <w:bCs/>
          <w:sz w:val="22"/>
          <w:szCs w:val="22"/>
        </w:rPr>
        <w:t>SEGUNDO</w:t>
      </w:r>
      <w:r w:rsidRPr="491408AF">
        <w:rPr>
          <w:rFonts w:ascii="Arial" w:hAnsi="Arial" w:cs="Arial"/>
          <w:b/>
          <w:bCs/>
          <w:sz w:val="22"/>
          <w:szCs w:val="22"/>
        </w:rPr>
        <w:t>.</w:t>
      </w:r>
      <w:r w:rsidR="00307B2E" w:rsidRPr="491408AF">
        <w:rPr>
          <w:rFonts w:ascii="Arial" w:hAnsi="Arial" w:cs="Arial"/>
          <w:b/>
          <w:bCs/>
          <w:sz w:val="22"/>
          <w:szCs w:val="22"/>
        </w:rPr>
        <w:t xml:space="preserve"> </w:t>
      </w:r>
      <w:r w:rsidRPr="491408AF">
        <w:rPr>
          <w:rFonts w:ascii="Arial" w:hAnsi="Arial" w:cs="Arial"/>
          <w:sz w:val="22"/>
          <w:szCs w:val="22"/>
        </w:rPr>
        <w:t xml:space="preserve">Los pagos realizados el último día hábil de los meses de </w:t>
      </w:r>
      <w:r w:rsidRPr="491408AF">
        <w:rPr>
          <w:rFonts w:ascii="Arial" w:hAnsi="Arial" w:cs="Arial"/>
          <w:sz w:val="22"/>
          <w:szCs w:val="22"/>
          <w:lang w:val="es-CO" w:eastAsia="es-CO"/>
        </w:rPr>
        <w:t>julio</w:t>
      </w:r>
      <w:r w:rsidRPr="491408AF">
        <w:rPr>
          <w:rFonts w:ascii="Arial" w:hAnsi="Arial" w:cs="Arial"/>
          <w:sz w:val="22"/>
          <w:szCs w:val="22"/>
        </w:rPr>
        <w:t xml:space="preserve">, </w:t>
      </w:r>
      <w:r w:rsidRPr="491408AF">
        <w:rPr>
          <w:rFonts w:ascii="Arial" w:hAnsi="Arial" w:cs="Arial"/>
          <w:sz w:val="22"/>
          <w:szCs w:val="22"/>
          <w:lang w:val="es-CO" w:eastAsia="es-CO"/>
        </w:rPr>
        <w:t>octubre</w:t>
      </w:r>
      <w:r w:rsidRPr="491408AF">
        <w:rPr>
          <w:rFonts w:ascii="Arial" w:hAnsi="Arial" w:cs="Arial"/>
          <w:sz w:val="22"/>
          <w:szCs w:val="22"/>
        </w:rPr>
        <w:t xml:space="preserve">, enero y </w:t>
      </w:r>
      <w:r w:rsidRPr="491408AF">
        <w:rPr>
          <w:rFonts w:ascii="Arial" w:hAnsi="Arial" w:cs="Arial"/>
          <w:sz w:val="22"/>
          <w:szCs w:val="22"/>
          <w:lang w:val="es-CO" w:eastAsia="es-CO"/>
        </w:rPr>
        <w:t>abril</w:t>
      </w:r>
      <w:r w:rsidRPr="491408AF">
        <w:rPr>
          <w:rFonts w:ascii="Arial" w:hAnsi="Arial" w:cs="Arial"/>
          <w:sz w:val="22"/>
          <w:szCs w:val="22"/>
        </w:rPr>
        <w:t xml:space="preserve"> después de las 5 p.m., se entenderán realizados el día hábil siguiente y, por lo tanto, darán lugar al cobro de intereses moratorios por parte del Fondo, en aplicación de lo </w:t>
      </w:r>
      <w:r w:rsidRPr="491408AF">
        <w:rPr>
          <w:rFonts w:ascii="Arial" w:hAnsi="Arial" w:cs="Arial"/>
          <w:color w:val="000000" w:themeColor="text1"/>
          <w:sz w:val="22"/>
          <w:szCs w:val="22"/>
        </w:rPr>
        <w:t xml:space="preserve">dispuesto </w:t>
      </w:r>
      <w:r w:rsidRPr="004E4BA5">
        <w:rPr>
          <w:rFonts w:ascii="Arial" w:hAnsi="Arial" w:cs="Arial"/>
          <w:color w:val="000000" w:themeColor="text1"/>
          <w:sz w:val="22"/>
          <w:szCs w:val="22"/>
        </w:rPr>
        <w:t xml:space="preserve">en el artículo </w:t>
      </w:r>
      <w:r w:rsidRPr="008309E5">
        <w:rPr>
          <w:rFonts w:ascii="Arial" w:hAnsi="Arial" w:cs="Arial"/>
          <w:color w:val="000000" w:themeColor="text1"/>
          <w:sz w:val="22"/>
          <w:szCs w:val="22"/>
        </w:rPr>
        <w:t>decimoprimero</w:t>
      </w:r>
      <w:r w:rsidRPr="004E4BA5">
        <w:rPr>
          <w:rFonts w:ascii="Arial" w:hAnsi="Arial" w:cs="Arial"/>
          <w:color w:val="000000" w:themeColor="text1"/>
          <w:sz w:val="22"/>
          <w:szCs w:val="22"/>
        </w:rPr>
        <w:t xml:space="preserve"> de esta Resolución.</w:t>
      </w:r>
    </w:p>
    <w:p w14:paraId="484408E7" w14:textId="77777777" w:rsidR="00EB397E" w:rsidRPr="004E4BA5" w:rsidRDefault="00EB397E" w:rsidP="00307B2E">
      <w:pPr>
        <w:autoSpaceDE w:val="0"/>
        <w:autoSpaceDN w:val="0"/>
        <w:adjustRightInd w:val="0"/>
        <w:jc w:val="both"/>
        <w:rPr>
          <w:rFonts w:ascii="Arial" w:hAnsi="Arial" w:cs="Arial"/>
          <w:b/>
          <w:bCs/>
          <w:sz w:val="22"/>
          <w:szCs w:val="22"/>
        </w:rPr>
      </w:pPr>
    </w:p>
    <w:p w14:paraId="5F20A0EC" w14:textId="77E9C53F" w:rsidR="00307B2E" w:rsidRPr="00817D78" w:rsidRDefault="00EB397E" w:rsidP="00747481">
      <w:pPr>
        <w:jc w:val="both"/>
        <w:rPr>
          <w:rFonts w:ascii="Arial" w:hAnsi="Arial" w:cs="Arial"/>
          <w:b/>
          <w:bCs/>
          <w:sz w:val="22"/>
          <w:szCs w:val="22"/>
          <w:u w:val="single"/>
        </w:rPr>
      </w:pPr>
      <w:r w:rsidRPr="009B1E14">
        <w:rPr>
          <w:rFonts w:ascii="Arial" w:hAnsi="Arial" w:cs="Arial"/>
          <w:b/>
          <w:bCs/>
          <w:sz w:val="22"/>
          <w:szCs w:val="22"/>
          <w:u w:val="single"/>
        </w:rPr>
        <w:t xml:space="preserve">PARÁGRAFO TERCERO. </w:t>
      </w:r>
      <w:r w:rsidR="006B5387" w:rsidRPr="009B1E14">
        <w:rPr>
          <w:rFonts w:ascii="Arial" w:hAnsi="Arial" w:cs="Arial"/>
          <w:b/>
          <w:bCs/>
          <w:sz w:val="22"/>
          <w:szCs w:val="22"/>
          <w:u w:val="single"/>
        </w:rPr>
        <w:t xml:space="preserve">En caso de que el valor </w:t>
      </w:r>
      <w:r w:rsidR="005C6A16">
        <w:rPr>
          <w:rFonts w:ascii="Arial" w:hAnsi="Arial" w:cs="Arial"/>
          <w:b/>
          <w:bCs/>
          <w:sz w:val="22"/>
          <w:szCs w:val="22"/>
          <w:u w:val="single"/>
        </w:rPr>
        <w:t>de la prima diferencial</w:t>
      </w:r>
      <w:r w:rsidR="006B5387" w:rsidRPr="009B1E14">
        <w:rPr>
          <w:rFonts w:ascii="Arial" w:hAnsi="Arial" w:cs="Arial"/>
          <w:b/>
          <w:bCs/>
          <w:sz w:val="22"/>
          <w:szCs w:val="22"/>
          <w:u w:val="single"/>
        </w:rPr>
        <w:t>, calculado por la entidad inscrita no coincida con el valor calculado por Fogafín y no fuera posible resolver la diferencia hasta el día hábil anterior a la fecha de inicio del periodo de pago a que se refiere el</w:t>
      </w:r>
      <w:r w:rsidR="00A77141" w:rsidRPr="009B1E14">
        <w:rPr>
          <w:rFonts w:ascii="Arial" w:hAnsi="Arial" w:cs="Arial"/>
          <w:b/>
          <w:bCs/>
          <w:sz w:val="22"/>
          <w:szCs w:val="22"/>
          <w:u w:val="single"/>
        </w:rPr>
        <w:t xml:space="preserve"> presente</w:t>
      </w:r>
      <w:r w:rsidR="006B5387" w:rsidRPr="009B1E14">
        <w:rPr>
          <w:rFonts w:ascii="Arial" w:hAnsi="Arial" w:cs="Arial"/>
          <w:b/>
          <w:bCs/>
          <w:sz w:val="22"/>
          <w:szCs w:val="22"/>
          <w:u w:val="single"/>
        </w:rPr>
        <w:t xml:space="preserve"> artículo de </w:t>
      </w:r>
      <w:r w:rsidR="00A77141" w:rsidRPr="009B1E14">
        <w:rPr>
          <w:rFonts w:ascii="Arial" w:hAnsi="Arial" w:cs="Arial"/>
          <w:b/>
          <w:bCs/>
          <w:sz w:val="22"/>
          <w:szCs w:val="22"/>
          <w:u w:val="single"/>
        </w:rPr>
        <w:t xml:space="preserve">esta </w:t>
      </w:r>
      <w:r w:rsidR="00747481" w:rsidRPr="009B1E14">
        <w:rPr>
          <w:rFonts w:ascii="Arial" w:hAnsi="Arial" w:cs="Arial"/>
          <w:b/>
          <w:bCs/>
          <w:sz w:val="22"/>
          <w:szCs w:val="22"/>
          <w:u w:val="single"/>
        </w:rPr>
        <w:t>Resolución, Fogafín realizará el cálculo y lo informará a la entidad para que ésta realice el pago correspondiente.</w:t>
      </w:r>
    </w:p>
    <w:p w14:paraId="4C7B8C56" w14:textId="77777777" w:rsidR="00EB397E" w:rsidRPr="000A6F68" w:rsidRDefault="00EB397E" w:rsidP="00797106">
      <w:pPr>
        <w:jc w:val="both"/>
        <w:rPr>
          <w:rFonts w:ascii="Arial" w:hAnsi="Arial" w:cs="Arial"/>
          <w:b/>
          <w:color w:val="000000"/>
          <w:sz w:val="22"/>
          <w:szCs w:val="22"/>
        </w:rPr>
      </w:pPr>
    </w:p>
    <w:p w14:paraId="000115A5" w14:textId="1624864D" w:rsidR="000A6F68" w:rsidRPr="005367E4" w:rsidRDefault="000A6F68" w:rsidP="000A6F68">
      <w:pPr>
        <w:autoSpaceDE w:val="0"/>
        <w:autoSpaceDN w:val="0"/>
        <w:adjustRightInd w:val="0"/>
        <w:jc w:val="both"/>
        <w:rPr>
          <w:rFonts w:ascii="Arial" w:hAnsi="Arial" w:cs="Arial"/>
          <w:bCs/>
          <w:color w:val="000000"/>
          <w:sz w:val="22"/>
          <w:szCs w:val="22"/>
        </w:rPr>
      </w:pPr>
      <w:r w:rsidRPr="000A6F68">
        <w:rPr>
          <w:rFonts w:ascii="Arial" w:hAnsi="Arial" w:cs="Arial"/>
          <w:b/>
          <w:bCs/>
          <w:color w:val="000000"/>
          <w:sz w:val="22"/>
          <w:szCs w:val="22"/>
        </w:rPr>
        <w:t xml:space="preserve">ARTÍCULO </w:t>
      </w:r>
      <w:r w:rsidR="00A3583F">
        <w:rPr>
          <w:rFonts w:ascii="Arial" w:hAnsi="Arial" w:cs="Arial"/>
          <w:b/>
          <w:bCs/>
          <w:color w:val="000000"/>
          <w:sz w:val="22"/>
          <w:szCs w:val="22"/>
        </w:rPr>
        <w:t>NOVENO</w:t>
      </w:r>
      <w:r w:rsidRPr="005367E4">
        <w:rPr>
          <w:rFonts w:ascii="Arial" w:hAnsi="Arial" w:cs="Arial"/>
          <w:b/>
          <w:bCs/>
          <w:color w:val="000000"/>
          <w:sz w:val="22"/>
          <w:szCs w:val="22"/>
        </w:rPr>
        <w:t>.</w:t>
      </w:r>
      <w:r>
        <w:rPr>
          <w:rFonts w:ascii="Arial" w:hAnsi="Arial" w:cs="Arial"/>
          <w:b/>
          <w:bCs/>
          <w:color w:val="000000"/>
          <w:sz w:val="22"/>
          <w:szCs w:val="22"/>
        </w:rPr>
        <w:t xml:space="preserve"> FORMA DE </w:t>
      </w:r>
      <w:r w:rsidRPr="005367E4">
        <w:rPr>
          <w:rFonts w:ascii="Arial" w:hAnsi="Arial" w:cs="Arial"/>
          <w:b/>
          <w:bCs/>
          <w:color w:val="000000"/>
          <w:sz w:val="22"/>
          <w:szCs w:val="22"/>
        </w:rPr>
        <w:t xml:space="preserve">PAGO DE LA PRIMA.  </w:t>
      </w:r>
      <w:r w:rsidRPr="005367E4">
        <w:rPr>
          <w:rFonts w:ascii="Arial" w:hAnsi="Arial" w:cs="Arial"/>
          <w:color w:val="000000"/>
          <w:sz w:val="22"/>
          <w:szCs w:val="22"/>
        </w:rPr>
        <w:t>Las SEDPES</w:t>
      </w:r>
      <w:r w:rsidRPr="005367E4">
        <w:rPr>
          <w:rFonts w:ascii="Arial" w:hAnsi="Arial" w:cs="Arial"/>
          <w:bCs/>
          <w:color w:val="000000"/>
          <w:sz w:val="22"/>
          <w:szCs w:val="22"/>
        </w:rPr>
        <w:t xml:space="preserve"> pagarán las primas a través del Servicio Electrónico del Banco de la República (SEBRA), acreditando la cuenta única de depósito No. 62093061 portafolio 0 (cero), a nombre del Fondo de Garantías de Instituciones Financieras</w:t>
      </w:r>
      <w:r>
        <w:rPr>
          <w:rFonts w:ascii="Arial" w:hAnsi="Arial" w:cs="Arial"/>
          <w:bCs/>
          <w:color w:val="000000"/>
          <w:sz w:val="22"/>
          <w:szCs w:val="22"/>
        </w:rPr>
        <w:t>.</w:t>
      </w:r>
    </w:p>
    <w:p w14:paraId="44A80606" w14:textId="77777777" w:rsidR="000A6F68" w:rsidRPr="005367E4" w:rsidRDefault="000A6F68" w:rsidP="000A6F68">
      <w:pPr>
        <w:jc w:val="both"/>
        <w:rPr>
          <w:rFonts w:ascii="Arial" w:hAnsi="Arial" w:cs="Arial"/>
          <w:bCs/>
          <w:color w:val="000000"/>
          <w:spacing w:val="-3"/>
          <w:sz w:val="22"/>
          <w:szCs w:val="22"/>
        </w:rPr>
      </w:pPr>
    </w:p>
    <w:p w14:paraId="7CFBFF07" w14:textId="77777777" w:rsidR="000A6F68" w:rsidRPr="005367E4" w:rsidRDefault="000A6F68" w:rsidP="000A6F68">
      <w:pPr>
        <w:suppressAutoHyphens/>
        <w:jc w:val="both"/>
        <w:rPr>
          <w:rFonts w:ascii="Arial" w:hAnsi="Arial" w:cs="Arial"/>
          <w:bCs/>
          <w:color w:val="000000"/>
          <w:spacing w:val="-3"/>
          <w:sz w:val="22"/>
          <w:szCs w:val="22"/>
        </w:rPr>
      </w:pPr>
      <w:r w:rsidRPr="005367E4">
        <w:rPr>
          <w:rFonts w:ascii="Arial" w:hAnsi="Arial" w:cs="Arial"/>
          <w:bCs/>
          <w:color w:val="000000"/>
          <w:spacing w:val="-3"/>
          <w:sz w:val="22"/>
          <w:szCs w:val="22"/>
        </w:rPr>
        <w:t>En el campo de descripción de transferencia registrar los siguientes datos: nombre de la Sociedad responsable del pago, el NIT de la Sociedad responsable del pago y el concepto: “pago prima”.</w:t>
      </w:r>
    </w:p>
    <w:p w14:paraId="6A7397FE" w14:textId="77777777" w:rsidR="000A6F68" w:rsidRPr="005367E4" w:rsidRDefault="000A6F68" w:rsidP="000A6F68">
      <w:pPr>
        <w:jc w:val="both"/>
        <w:rPr>
          <w:rFonts w:ascii="Arial" w:hAnsi="Arial" w:cs="Arial"/>
          <w:bCs/>
          <w:color w:val="000000"/>
          <w:spacing w:val="-3"/>
          <w:sz w:val="22"/>
          <w:szCs w:val="22"/>
        </w:rPr>
      </w:pPr>
    </w:p>
    <w:p w14:paraId="6F9ACD34" w14:textId="77777777" w:rsidR="000A6F68" w:rsidRPr="005367E4" w:rsidRDefault="000A6F68" w:rsidP="000A6F68">
      <w:pPr>
        <w:jc w:val="both"/>
        <w:rPr>
          <w:rFonts w:ascii="Arial" w:hAnsi="Arial" w:cs="Arial"/>
          <w:bCs/>
          <w:color w:val="000000"/>
          <w:spacing w:val="-3"/>
          <w:sz w:val="22"/>
          <w:szCs w:val="22"/>
        </w:rPr>
      </w:pPr>
      <w:r w:rsidRPr="005367E4">
        <w:rPr>
          <w:rFonts w:ascii="Arial" w:hAnsi="Arial" w:cs="Arial"/>
          <w:bCs/>
          <w:color w:val="000000"/>
          <w:spacing w:val="-3"/>
          <w:sz w:val="22"/>
          <w:szCs w:val="22"/>
        </w:rPr>
        <w:t xml:space="preserve">Las </w:t>
      </w:r>
      <w:r w:rsidRPr="005367E4">
        <w:rPr>
          <w:rFonts w:ascii="Arial" w:hAnsi="Arial" w:cs="Arial"/>
          <w:color w:val="000000"/>
          <w:sz w:val="22"/>
          <w:szCs w:val="22"/>
        </w:rPr>
        <w:t xml:space="preserve">SEDPES </w:t>
      </w:r>
      <w:r w:rsidRPr="005367E4">
        <w:rPr>
          <w:rFonts w:ascii="Arial" w:hAnsi="Arial" w:cs="Arial"/>
          <w:bCs/>
          <w:color w:val="000000"/>
          <w:spacing w:val="-3"/>
          <w:sz w:val="22"/>
          <w:szCs w:val="22"/>
        </w:rPr>
        <w:t xml:space="preserve">que no cuenten directamente con el Servicio Electrónico del Banco de la República (SEBRA), podrán utilizar intermediarios, para lo cual </w:t>
      </w:r>
      <w:r>
        <w:rPr>
          <w:rFonts w:ascii="Arial" w:hAnsi="Arial" w:cs="Arial"/>
          <w:bCs/>
          <w:color w:val="000000"/>
          <w:spacing w:val="-3"/>
          <w:sz w:val="22"/>
          <w:szCs w:val="22"/>
        </w:rPr>
        <w:t>é</w:t>
      </w:r>
      <w:r w:rsidRPr="005367E4">
        <w:rPr>
          <w:rFonts w:ascii="Arial" w:hAnsi="Arial" w:cs="Arial"/>
          <w:bCs/>
          <w:color w:val="000000"/>
          <w:spacing w:val="-3"/>
          <w:sz w:val="22"/>
          <w:szCs w:val="22"/>
        </w:rPr>
        <w:t>stos deben cumplir con todos los requisitos aplicables para tales efectos.</w:t>
      </w:r>
    </w:p>
    <w:p w14:paraId="20BF2D3E" w14:textId="77777777" w:rsidR="000A6F68" w:rsidRPr="005367E4" w:rsidRDefault="000A6F68" w:rsidP="000A6F68">
      <w:pPr>
        <w:autoSpaceDE w:val="0"/>
        <w:autoSpaceDN w:val="0"/>
        <w:adjustRightInd w:val="0"/>
        <w:jc w:val="both"/>
        <w:rPr>
          <w:rFonts w:ascii="Arial" w:hAnsi="Arial" w:cs="Arial"/>
          <w:b/>
          <w:bCs/>
          <w:color w:val="000000"/>
          <w:sz w:val="22"/>
          <w:szCs w:val="22"/>
        </w:rPr>
      </w:pPr>
    </w:p>
    <w:p w14:paraId="613765FC" w14:textId="5AA639AB" w:rsidR="000A6F68" w:rsidRPr="005367E4" w:rsidRDefault="000A6F68" w:rsidP="000A6F68">
      <w:pPr>
        <w:autoSpaceDE w:val="0"/>
        <w:autoSpaceDN w:val="0"/>
        <w:adjustRightInd w:val="0"/>
        <w:jc w:val="both"/>
        <w:rPr>
          <w:rFonts w:ascii="Arial" w:hAnsi="Arial" w:cs="Arial"/>
          <w:bCs/>
          <w:color w:val="000000"/>
          <w:sz w:val="22"/>
          <w:szCs w:val="22"/>
        </w:rPr>
      </w:pPr>
      <w:r w:rsidRPr="005367E4">
        <w:rPr>
          <w:rFonts w:ascii="Arial" w:hAnsi="Arial" w:cs="Arial"/>
          <w:b/>
          <w:bCs/>
          <w:color w:val="000000"/>
          <w:sz w:val="22"/>
          <w:szCs w:val="22"/>
        </w:rPr>
        <w:t xml:space="preserve">ARTÍCULO </w:t>
      </w:r>
      <w:r w:rsidR="0098333D">
        <w:rPr>
          <w:rFonts w:ascii="Arial" w:hAnsi="Arial" w:cs="Arial"/>
          <w:b/>
          <w:bCs/>
          <w:color w:val="000000"/>
          <w:sz w:val="22"/>
          <w:szCs w:val="22"/>
        </w:rPr>
        <w:t>DÉCIMO</w:t>
      </w:r>
      <w:r w:rsidRPr="005367E4">
        <w:rPr>
          <w:rFonts w:ascii="Arial" w:hAnsi="Arial" w:cs="Arial"/>
          <w:b/>
          <w:bCs/>
          <w:color w:val="000000"/>
          <w:sz w:val="22"/>
          <w:szCs w:val="22"/>
        </w:rPr>
        <w:t xml:space="preserve">. RESTITUCIÓN DE PAGOS EN EXCESO. </w:t>
      </w:r>
      <w:r w:rsidRPr="005367E4">
        <w:rPr>
          <w:rFonts w:ascii="Arial" w:hAnsi="Arial" w:cs="Arial"/>
          <w:bCs/>
          <w:color w:val="000000"/>
          <w:sz w:val="22"/>
          <w:szCs w:val="22"/>
        </w:rPr>
        <w:t xml:space="preserve">En caso de que una </w:t>
      </w:r>
      <w:r w:rsidRPr="005367E4">
        <w:rPr>
          <w:rFonts w:ascii="Arial" w:hAnsi="Arial" w:cs="Arial"/>
          <w:color w:val="000000"/>
          <w:sz w:val="22"/>
          <w:szCs w:val="22"/>
        </w:rPr>
        <w:t xml:space="preserve">SEDPE </w:t>
      </w:r>
      <w:r w:rsidRPr="005367E4">
        <w:rPr>
          <w:rFonts w:ascii="Arial" w:hAnsi="Arial" w:cs="Arial"/>
          <w:bCs/>
          <w:color w:val="000000"/>
          <w:sz w:val="22"/>
          <w:szCs w:val="22"/>
        </w:rPr>
        <w:t>efectúe un pago en exceso de lo que le corresponde pagar por prima</w:t>
      </w:r>
      <w:r>
        <w:rPr>
          <w:rFonts w:ascii="Arial" w:hAnsi="Arial" w:cs="Arial"/>
          <w:bCs/>
          <w:color w:val="000000"/>
          <w:sz w:val="22"/>
          <w:szCs w:val="22"/>
        </w:rPr>
        <w:t xml:space="preserve"> diferencial</w:t>
      </w:r>
      <w:r w:rsidRPr="005367E4">
        <w:rPr>
          <w:rFonts w:ascii="Arial" w:hAnsi="Arial" w:cs="Arial"/>
          <w:bCs/>
          <w:color w:val="000000"/>
          <w:sz w:val="22"/>
          <w:szCs w:val="22"/>
        </w:rPr>
        <w:t xml:space="preserve">, podrá solicitar por escrito, y obtener del Fondo, la devolución de las sumas correspondientes </w:t>
      </w:r>
      <w:r w:rsidRPr="005367E4">
        <w:rPr>
          <w:rFonts w:ascii="Arial" w:hAnsi="Arial" w:cs="Arial"/>
          <w:bCs/>
          <w:sz w:val="22"/>
          <w:szCs w:val="22"/>
        </w:rPr>
        <w:t>o la deducción de dicho excedente en los siguientes cobros</w:t>
      </w:r>
      <w:r w:rsidRPr="005367E4">
        <w:rPr>
          <w:rFonts w:ascii="Arial" w:hAnsi="Arial" w:cs="Arial"/>
          <w:bCs/>
          <w:color w:val="000000"/>
          <w:sz w:val="22"/>
          <w:szCs w:val="22"/>
        </w:rPr>
        <w:t xml:space="preserve">. Con tal fin, </w:t>
      </w:r>
      <w:r w:rsidRPr="005367E4">
        <w:rPr>
          <w:rFonts w:ascii="Arial" w:hAnsi="Arial" w:cs="Arial"/>
          <w:bCs/>
          <w:color w:val="000000"/>
          <w:sz w:val="22"/>
          <w:szCs w:val="22"/>
        </w:rPr>
        <w:lastRenderedPageBreak/>
        <w:t>la Sociedad respectiva deberá probar el error y la base correcta de la liquidación, mediante certificación suscrita por el representante legal y el revisor fiscal. La solicitud de restitución o deducción deberá presentarse dentro</w:t>
      </w:r>
      <w:r>
        <w:rPr>
          <w:rFonts w:ascii="Arial" w:hAnsi="Arial" w:cs="Arial"/>
          <w:bCs/>
          <w:color w:val="000000"/>
          <w:sz w:val="22"/>
          <w:szCs w:val="22"/>
        </w:rPr>
        <w:t xml:space="preserve"> del</w:t>
      </w:r>
      <w:r w:rsidRPr="005367E4">
        <w:rPr>
          <w:rFonts w:ascii="Arial" w:hAnsi="Arial" w:cs="Arial"/>
          <w:bCs/>
          <w:color w:val="000000"/>
          <w:sz w:val="22"/>
          <w:szCs w:val="22"/>
        </w:rPr>
        <w:t xml:space="preserve"> trimestre siguiente a la fecha en que se produjo el pago en exceso.</w:t>
      </w:r>
    </w:p>
    <w:p w14:paraId="255052CF" w14:textId="77777777" w:rsidR="000A6F68" w:rsidRPr="005367E4" w:rsidRDefault="000A6F68" w:rsidP="000A6F68">
      <w:pPr>
        <w:autoSpaceDE w:val="0"/>
        <w:autoSpaceDN w:val="0"/>
        <w:adjustRightInd w:val="0"/>
        <w:jc w:val="both"/>
        <w:rPr>
          <w:rFonts w:ascii="Arial" w:hAnsi="Arial" w:cs="Arial"/>
          <w:bCs/>
          <w:color w:val="000000"/>
          <w:sz w:val="22"/>
          <w:szCs w:val="22"/>
        </w:rPr>
      </w:pPr>
      <w:r w:rsidRPr="005367E4">
        <w:rPr>
          <w:rFonts w:ascii="Arial" w:hAnsi="Arial" w:cs="Arial"/>
          <w:bCs/>
          <w:color w:val="000000"/>
          <w:sz w:val="22"/>
          <w:szCs w:val="22"/>
        </w:rPr>
        <w:t xml:space="preserve"> </w:t>
      </w:r>
    </w:p>
    <w:p w14:paraId="15859602" w14:textId="2C4F9D8B" w:rsidR="000A6F68" w:rsidRPr="005367E4" w:rsidRDefault="000A6F68" w:rsidP="000A6F68">
      <w:pPr>
        <w:autoSpaceDE w:val="0"/>
        <w:autoSpaceDN w:val="0"/>
        <w:adjustRightInd w:val="0"/>
        <w:jc w:val="both"/>
        <w:rPr>
          <w:rFonts w:ascii="Arial" w:hAnsi="Arial" w:cs="Arial"/>
          <w:bCs/>
          <w:color w:val="000000"/>
          <w:sz w:val="22"/>
          <w:szCs w:val="22"/>
        </w:rPr>
      </w:pPr>
      <w:r w:rsidRPr="005367E4">
        <w:rPr>
          <w:rFonts w:ascii="Arial" w:hAnsi="Arial" w:cs="Arial"/>
          <w:bCs/>
          <w:color w:val="000000"/>
          <w:sz w:val="22"/>
          <w:szCs w:val="22"/>
        </w:rPr>
        <w:t>Si la respectiva Sociedad no solicita la devolución dentro del término antes señalado, el Fondo enviará una comunicación al representante legal de la Sociedad, informándole sobre el pago en exceso e indicándole que para efectos que proceda la devolución o deducción en los siguientes cobros</w:t>
      </w:r>
      <w:r w:rsidR="00BD2270">
        <w:rPr>
          <w:rFonts w:ascii="Arial" w:hAnsi="Arial" w:cs="Arial"/>
          <w:bCs/>
          <w:color w:val="000000"/>
          <w:sz w:val="22"/>
          <w:szCs w:val="22"/>
        </w:rPr>
        <w:t xml:space="preserve">, </w:t>
      </w:r>
      <w:r w:rsidRPr="005367E4">
        <w:rPr>
          <w:rFonts w:ascii="Arial" w:hAnsi="Arial" w:cs="Arial"/>
          <w:bCs/>
          <w:color w:val="000000"/>
          <w:sz w:val="22"/>
          <w:szCs w:val="22"/>
        </w:rPr>
        <w:t xml:space="preserve">deberá solicitarla por escrito y adjuntar la certificación suscrita por el representante legal y el revisor fiscal, sobre la base correcta de la liquidación. </w:t>
      </w:r>
    </w:p>
    <w:p w14:paraId="40D89727" w14:textId="77777777" w:rsidR="000A6F68" w:rsidRPr="005367E4" w:rsidRDefault="000A6F68" w:rsidP="000A6F68">
      <w:pPr>
        <w:autoSpaceDE w:val="0"/>
        <w:autoSpaceDN w:val="0"/>
        <w:adjustRightInd w:val="0"/>
        <w:jc w:val="both"/>
        <w:rPr>
          <w:rFonts w:ascii="Arial" w:hAnsi="Arial" w:cs="Arial"/>
          <w:bCs/>
          <w:color w:val="000000"/>
          <w:sz w:val="22"/>
          <w:szCs w:val="22"/>
        </w:rPr>
      </w:pPr>
    </w:p>
    <w:p w14:paraId="502B977F" w14:textId="77777777" w:rsidR="000A6F68" w:rsidRPr="005367E4" w:rsidRDefault="000A6F68" w:rsidP="000A6F68">
      <w:pPr>
        <w:autoSpaceDE w:val="0"/>
        <w:autoSpaceDN w:val="0"/>
        <w:adjustRightInd w:val="0"/>
        <w:jc w:val="both"/>
        <w:rPr>
          <w:rFonts w:ascii="Arial" w:hAnsi="Arial" w:cs="Arial"/>
          <w:bCs/>
          <w:color w:val="000000"/>
          <w:sz w:val="22"/>
          <w:szCs w:val="22"/>
        </w:rPr>
      </w:pPr>
      <w:r w:rsidRPr="005367E4">
        <w:rPr>
          <w:rFonts w:ascii="Arial" w:hAnsi="Arial" w:cs="Arial"/>
          <w:bCs/>
          <w:color w:val="000000"/>
          <w:sz w:val="22"/>
          <w:szCs w:val="22"/>
        </w:rPr>
        <w:t>En el caso de devolución, el Fondo girará las sumas pagadas en exceso, previa deducción de los gravámenes tributarios y costos transaccionales a que haya lugar y que se originan en el hecho de la restitución de los pagos en exceso.</w:t>
      </w:r>
    </w:p>
    <w:p w14:paraId="335FC54B" w14:textId="77777777" w:rsidR="000A6F68" w:rsidRPr="005367E4" w:rsidRDefault="000A6F68" w:rsidP="000A6F68">
      <w:pPr>
        <w:autoSpaceDE w:val="0"/>
        <w:autoSpaceDN w:val="0"/>
        <w:adjustRightInd w:val="0"/>
        <w:jc w:val="both"/>
        <w:rPr>
          <w:rFonts w:ascii="Arial" w:hAnsi="Arial" w:cs="Arial"/>
          <w:bCs/>
          <w:color w:val="000000"/>
          <w:sz w:val="22"/>
          <w:szCs w:val="22"/>
        </w:rPr>
      </w:pPr>
    </w:p>
    <w:p w14:paraId="7C20A622" w14:textId="77777777" w:rsidR="000A6F68" w:rsidRPr="005367E4" w:rsidRDefault="000A6F68" w:rsidP="000A6F68">
      <w:pPr>
        <w:autoSpaceDE w:val="0"/>
        <w:autoSpaceDN w:val="0"/>
        <w:adjustRightInd w:val="0"/>
        <w:jc w:val="both"/>
        <w:rPr>
          <w:rFonts w:ascii="Arial" w:hAnsi="Arial" w:cs="Arial"/>
          <w:bCs/>
          <w:color w:val="000000"/>
          <w:sz w:val="22"/>
          <w:szCs w:val="22"/>
        </w:rPr>
      </w:pPr>
      <w:r w:rsidRPr="005367E4">
        <w:rPr>
          <w:rFonts w:ascii="Arial" w:hAnsi="Arial" w:cs="Arial"/>
          <w:bCs/>
          <w:color w:val="000000"/>
          <w:sz w:val="22"/>
          <w:szCs w:val="22"/>
        </w:rPr>
        <w:t>No habrá lugar al pago de intereses por parte del Fondo a favor de la Sociedad que por cualquier causa haya cancelado una suma mayor a la que le corresponde. En cualquier caso, las devoluciones se realizarán una vez compensadas las obligaciones de plazo vencido a cargo de la respectiva Sociedad.</w:t>
      </w:r>
    </w:p>
    <w:p w14:paraId="0B926908" w14:textId="77777777" w:rsidR="000A6F68" w:rsidRPr="005367E4" w:rsidRDefault="000A6F68" w:rsidP="000A6F68">
      <w:pPr>
        <w:autoSpaceDE w:val="0"/>
        <w:autoSpaceDN w:val="0"/>
        <w:adjustRightInd w:val="0"/>
        <w:jc w:val="both"/>
        <w:rPr>
          <w:rFonts w:ascii="Arial" w:hAnsi="Arial" w:cs="Arial"/>
          <w:color w:val="000000"/>
          <w:sz w:val="22"/>
          <w:szCs w:val="22"/>
        </w:rPr>
      </w:pPr>
    </w:p>
    <w:p w14:paraId="0AD402FE" w14:textId="12622337"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b/>
          <w:color w:val="000000"/>
          <w:sz w:val="22"/>
          <w:szCs w:val="22"/>
        </w:rPr>
        <w:t xml:space="preserve">ARTÍCULO </w:t>
      </w:r>
      <w:r w:rsidR="00A3583F">
        <w:rPr>
          <w:rFonts w:ascii="Arial" w:hAnsi="Arial" w:cs="Arial"/>
          <w:b/>
          <w:color w:val="000000"/>
          <w:sz w:val="22"/>
          <w:szCs w:val="22"/>
        </w:rPr>
        <w:t>DECIMOPRIMERO</w:t>
      </w:r>
      <w:r w:rsidRPr="005367E4">
        <w:rPr>
          <w:rFonts w:ascii="Arial" w:hAnsi="Arial" w:cs="Arial"/>
          <w:b/>
          <w:color w:val="000000"/>
          <w:sz w:val="22"/>
          <w:szCs w:val="22"/>
        </w:rPr>
        <w:t>. RETARDO EN EL PAGO DE LA PRIMA</w:t>
      </w:r>
      <w:r w:rsidR="00D65996">
        <w:rPr>
          <w:rFonts w:ascii="Arial" w:hAnsi="Arial" w:cs="Arial"/>
          <w:b/>
          <w:color w:val="000000"/>
          <w:sz w:val="22"/>
          <w:szCs w:val="22"/>
        </w:rPr>
        <w:t xml:space="preserve">. </w:t>
      </w:r>
      <w:r w:rsidRPr="005367E4">
        <w:rPr>
          <w:rFonts w:ascii="Arial" w:hAnsi="Arial" w:cs="Arial"/>
          <w:color w:val="000000"/>
          <w:sz w:val="22"/>
          <w:szCs w:val="22"/>
        </w:rPr>
        <w:t>Cuando una SEDPE retarde el pago de las primas</w:t>
      </w:r>
      <w:r w:rsidR="00BD2270">
        <w:rPr>
          <w:rFonts w:ascii="Arial" w:hAnsi="Arial" w:cs="Arial"/>
          <w:color w:val="000000"/>
          <w:sz w:val="22"/>
          <w:szCs w:val="22"/>
        </w:rPr>
        <w:t xml:space="preserve"> diferenciales</w:t>
      </w:r>
      <w:r w:rsidRPr="005367E4">
        <w:rPr>
          <w:rFonts w:ascii="Arial" w:hAnsi="Arial" w:cs="Arial"/>
          <w:color w:val="000000"/>
          <w:sz w:val="22"/>
          <w:szCs w:val="22"/>
        </w:rPr>
        <w:t xml:space="preserve"> a su cargo, conforme a la presente Resolución, se causarán a favor del Fondo intereses de mora liquidados a la tasa más alta permitida para las operaciones comerciales y vigentes a la fecha en que se realice efectivamente el pago. </w:t>
      </w:r>
    </w:p>
    <w:p w14:paraId="02838EC3" w14:textId="77777777" w:rsidR="000A6F68" w:rsidRPr="005367E4" w:rsidRDefault="000A6F68" w:rsidP="000A6F68">
      <w:pPr>
        <w:autoSpaceDE w:val="0"/>
        <w:autoSpaceDN w:val="0"/>
        <w:adjustRightInd w:val="0"/>
        <w:jc w:val="both"/>
        <w:rPr>
          <w:rFonts w:ascii="Arial" w:hAnsi="Arial" w:cs="Arial"/>
          <w:b/>
          <w:bCs/>
          <w:color w:val="000000"/>
          <w:sz w:val="22"/>
          <w:szCs w:val="22"/>
        </w:rPr>
      </w:pPr>
    </w:p>
    <w:p w14:paraId="0C088312" w14:textId="3ED8D8A3" w:rsidR="000A6F68" w:rsidRDefault="000A6F68" w:rsidP="000A6F68">
      <w:pPr>
        <w:autoSpaceDE w:val="0"/>
        <w:autoSpaceDN w:val="0"/>
        <w:adjustRightInd w:val="0"/>
        <w:jc w:val="both"/>
        <w:rPr>
          <w:rFonts w:ascii="Arial" w:hAnsi="Arial" w:cs="Arial"/>
          <w:bCs/>
          <w:color w:val="000000"/>
          <w:sz w:val="22"/>
          <w:szCs w:val="22"/>
        </w:rPr>
      </w:pPr>
      <w:r w:rsidRPr="005367E4">
        <w:rPr>
          <w:rFonts w:ascii="Arial" w:hAnsi="Arial" w:cs="Arial"/>
          <w:b/>
          <w:bCs/>
          <w:color w:val="000000"/>
          <w:sz w:val="22"/>
          <w:szCs w:val="22"/>
        </w:rPr>
        <w:t xml:space="preserve">PARÁGRAFO. </w:t>
      </w:r>
      <w:r w:rsidRPr="005367E4">
        <w:rPr>
          <w:rFonts w:ascii="Arial" w:hAnsi="Arial" w:cs="Arial"/>
          <w:bCs/>
          <w:color w:val="000000"/>
          <w:sz w:val="22"/>
          <w:szCs w:val="22"/>
        </w:rPr>
        <w:t xml:space="preserve">La </w:t>
      </w:r>
      <w:r w:rsidRPr="005367E4">
        <w:rPr>
          <w:rFonts w:ascii="Arial" w:hAnsi="Arial" w:cs="Arial"/>
          <w:color w:val="000000"/>
          <w:sz w:val="22"/>
          <w:szCs w:val="22"/>
        </w:rPr>
        <w:t xml:space="preserve">SEDPE </w:t>
      </w:r>
      <w:r w:rsidRPr="005367E4">
        <w:rPr>
          <w:rFonts w:ascii="Arial" w:hAnsi="Arial" w:cs="Arial"/>
          <w:bCs/>
          <w:color w:val="000000"/>
          <w:sz w:val="22"/>
          <w:szCs w:val="22"/>
        </w:rPr>
        <w:t>deberá pagar al Fondo intereses de mora liquidados como lo dispone este artículo,</w:t>
      </w:r>
      <w:r w:rsidRPr="005367E4" w:rsidDel="001B2225">
        <w:rPr>
          <w:rFonts w:ascii="Arial" w:hAnsi="Arial" w:cs="Arial"/>
          <w:bCs/>
          <w:color w:val="000000"/>
          <w:sz w:val="22"/>
          <w:szCs w:val="22"/>
        </w:rPr>
        <w:t xml:space="preserve"> </w:t>
      </w:r>
      <w:r w:rsidRPr="005367E4">
        <w:rPr>
          <w:rFonts w:ascii="Arial" w:hAnsi="Arial" w:cs="Arial"/>
          <w:bCs/>
          <w:color w:val="000000"/>
          <w:sz w:val="22"/>
          <w:szCs w:val="22"/>
        </w:rPr>
        <w:t xml:space="preserve">en el evento de que realice un pago por un monto inferior al que corresponde, para lo cual el Fondo podrá realizar el cobro pertinente. </w:t>
      </w:r>
    </w:p>
    <w:p w14:paraId="3D98EDCF" w14:textId="77777777" w:rsidR="000A6F68" w:rsidRPr="005367E4" w:rsidRDefault="000A6F68" w:rsidP="000A6F68">
      <w:pPr>
        <w:autoSpaceDE w:val="0"/>
        <w:autoSpaceDN w:val="0"/>
        <w:adjustRightInd w:val="0"/>
        <w:jc w:val="both"/>
        <w:rPr>
          <w:rFonts w:ascii="Arial" w:hAnsi="Arial" w:cs="Arial"/>
          <w:bCs/>
          <w:color w:val="000000"/>
          <w:sz w:val="22"/>
          <w:szCs w:val="22"/>
        </w:rPr>
      </w:pPr>
    </w:p>
    <w:p w14:paraId="2EE7E560" w14:textId="77777777" w:rsidR="000A6F68" w:rsidRPr="005367E4" w:rsidRDefault="000A6F68" w:rsidP="000A6F68">
      <w:pPr>
        <w:autoSpaceDE w:val="0"/>
        <w:autoSpaceDN w:val="0"/>
        <w:adjustRightInd w:val="0"/>
        <w:jc w:val="both"/>
        <w:rPr>
          <w:rFonts w:ascii="Arial" w:hAnsi="Arial" w:cs="Arial"/>
          <w:b/>
          <w:bCs/>
          <w:color w:val="000000"/>
          <w:sz w:val="22"/>
          <w:szCs w:val="22"/>
        </w:rPr>
      </w:pPr>
    </w:p>
    <w:p w14:paraId="11574D7F" w14:textId="77777777" w:rsidR="000A6F68" w:rsidRPr="005367E4" w:rsidRDefault="000A6F68" w:rsidP="000A6F68">
      <w:pPr>
        <w:autoSpaceDE w:val="0"/>
        <w:autoSpaceDN w:val="0"/>
        <w:adjustRightInd w:val="0"/>
        <w:jc w:val="center"/>
        <w:outlineLvl w:val="0"/>
        <w:rPr>
          <w:rFonts w:ascii="Arial" w:hAnsi="Arial" w:cs="Arial"/>
          <w:b/>
          <w:bCs/>
          <w:color w:val="000000"/>
          <w:sz w:val="22"/>
          <w:szCs w:val="22"/>
        </w:rPr>
      </w:pPr>
      <w:r w:rsidRPr="005367E4">
        <w:rPr>
          <w:rFonts w:ascii="Arial" w:hAnsi="Arial" w:cs="Arial"/>
          <w:b/>
          <w:bCs/>
          <w:color w:val="000000"/>
          <w:sz w:val="22"/>
          <w:szCs w:val="22"/>
        </w:rPr>
        <w:t xml:space="preserve">CAPÍTULO III – COBERTURA Y PAGO DEL SEGURO DE DEPÓSITOS </w:t>
      </w:r>
    </w:p>
    <w:p w14:paraId="5D44CEC3" w14:textId="77777777" w:rsidR="000A6F68" w:rsidRPr="005367E4" w:rsidRDefault="000A6F68" w:rsidP="000A6F68">
      <w:pPr>
        <w:autoSpaceDE w:val="0"/>
        <w:autoSpaceDN w:val="0"/>
        <w:adjustRightInd w:val="0"/>
        <w:jc w:val="both"/>
        <w:rPr>
          <w:rFonts w:ascii="Arial" w:hAnsi="Arial" w:cs="Arial"/>
          <w:b/>
          <w:bCs/>
          <w:color w:val="000000"/>
          <w:sz w:val="22"/>
          <w:szCs w:val="22"/>
        </w:rPr>
      </w:pPr>
    </w:p>
    <w:p w14:paraId="33BCEF93" w14:textId="41AEC961"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b/>
          <w:bCs/>
          <w:color w:val="000000"/>
          <w:sz w:val="22"/>
          <w:szCs w:val="22"/>
        </w:rPr>
        <w:t xml:space="preserve">ARTÍCULO </w:t>
      </w:r>
      <w:r w:rsidR="00BD2270" w:rsidRPr="00BD2270">
        <w:rPr>
          <w:rFonts w:ascii="Arial" w:hAnsi="Arial" w:cs="Arial"/>
          <w:b/>
          <w:bCs/>
          <w:color w:val="000000"/>
          <w:sz w:val="22"/>
          <w:szCs w:val="22"/>
        </w:rPr>
        <w:t>DECIMO</w:t>
      </w:r>
      <w:r w:rsidR="00AC5551">
        <w:rPr>
          <w:rFonts w:ascii="Arial" w:hAnsi="Arial" w:cs="Arial"/>
          <w:b/>
          <w:bCs/>
          <w:color w:val="000000"/>
          <w:sz w:val="22"/>
          <w:szCs w:val="22"/>
        </w:rPr>
        <w:t>SEGUNDO</w:t>
      </w:r>
      <w:r w:rsidRPr="00BD2270">
        <w:rPr>
          <w:rFonts w:ascii="Arial" w:hAnsi="Arial" w:cs="Arial"/>
          <w:b/>
          <w:bCs/>
          <w:color w:val="000000"/>
          <w:sz w:val="22"/>
          <w:szCs w:val="22"/>
        </w:rPr>
        <w:t>.</w:t>
      </w:r>
      <w:r w:rsidRPr="005367E4">
        <w:rPr>
          <w:rFonts w:ascii="Arial" w:hAnsi="Arial" w:cs="Arial"/>
          <w:b/>
          <w:bCs/>
          <w:color w:val="000000"/>
          <w:sz w:val="22"/>
          <w:szCs w:val="22"/>
        </w:rPr>
        <w:t xml:space="preserve"> </w:t>
      </w:r>
      <w:r w:rsidRPr="005367E4">
        <w:rPr>
          <w:rFonts w:ascii="Arial" w:hAnsi="Arial" w:cs="Arial"/>
          <w:b/>
          <w:color w:val="000000"/>
          <w:sz w:val="22"/>
          <w:szCs w:val="22"/>
        </w:rPr>
        <w:t>VALOR MÁXIMO ASEGURADO Y PAGO DEL SEGURO DE DEPÓSITOS PARA DEPOSITANTES DE LAS SEDPES.</w:t>
      </w:r>
      <w:r w:rsidRPr="005367E4">
        <w:rPr>
          <w:rFonts w:ascii="Arial" w:hAnsi="Arial" w:cs="Arial"/>
          <w:color w:val="000000"/>
          <w:sz w:val="22"/>
          <w:szCs w:val="22"/>
        </w:rPr>
        <w:t xml:space="preserve"> El valor máximo asegurado que reconocerá el Fondo de Garantías de Instituciones Financieras por concepto de Seguro de Depósitos será de hasta cincuenta millones de pesos ($50.000.000) por persona, en cada SEDPE. </w:t>
      </w:r>
    </w:p>
    <w:p w14:paraId="723FA0FB" w14:textId="77777777" w:rsidR="000A6F68" w:rsidRPr="005367E4" w:rsidRDefault="000A6F68" w:rsidP="000A6F68">
      <w:pPr>
        <w:autoSpaceDE w:val="0"/>
        <w:autoSpaceDN w:val="0"/>
        <w:adjustRightInd w:val="0"/>
        <w:jc w:val="both"/>
        <w:rPr>
          <w:rFonts w:ascii="Arial" w:hAnsi="Arial" w:cs="Arial"/>
          <w:color w:val="000000"/>
          <w:sz w:val="22"/>
          <w:szCs w:val="22"/>
        </w:rPr>
      </w:pPr>
    </w:p>
    <w:p w14:paraId="0E0FC16F" w14:textId="77777777"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color w:val="000000"/>
          <w:sz w:val="22"/>
          <w:szCs w:val="22"/>
        </w:rPr>
        <w:t>El Fondo realizará el pago del Seguro de Depósitos respecto de las acreencias amparadas</w:t>
      </w:r>
      <w:r>
        <w:rPr>
          <w:rFonts w:ascii="Arial" w:hAnsi="Arial" w:cs="Arial"/>
          <w:color w:val="000000"/>
          <w:sz w:val="22"/>
          <w:szCs w:val="22"/>
        </w:rPr>
        <w:t xml:space="preserve"> </w:t>
      </w:r>
      <w:r w:rsidRPr="005367E4">
        <w:rPr>
          <w:rFonts w:ascii="Arial" w:hAnsi="Arial" w:cs="Arial"/>
          <w:color w:val="000000"/>
          <w:sz w:val="22"/>
          <w:szCs w:val="22"/>
        </w:rPr>
        <w:t>vigentes a la fecha de la toma de posesión para liquidar de la SEDPE. Lo anterior, dentro de los términos, plazos y condiciones establecidos en la Circular Externa que para tales efectos expida el Fondo.</w:t>
      </w:r>
    </w:p>
    <w:p w14:paraId="0D7C89BB" w14:textId="77777777" w:rsidR="000A6F68" w:rsidRPr="005367E4" w:rsidRDefault="000A6F68" w:rsidP="000A6F68">
      <w:pPr>
        <w:autoSpaceDE w:val="0"/>
        <w:autoSpaceDN w:val="0"/>
        <w:adjustRightInd w:val="0"/>
        <w:jc w:val="both"/>
        <w:rPr>
          <w:rFonts w:ascii="Arial" w:hAnsi="Arial" w:cs="Arial"/>
          <w:b/>
          <w:color w:val="000000"/>
          <w:sz w:val="22"/>
          <w:szCs w:val="22"/>
        </w:rPr>
      </w:pPr>
    </w:p>
    <w:p w14:paraId="7DBC8C91" w14:textId="77777777" w:rsidR="000A6F68" w:rsidRPr="005367E4" w:rsidRDefault="000A6F68" w:rsidP="000A6F68">
      <w:pPr>
        <w:jc w:val="both"/>
        <w:rPr>
          <w:rFonts w:ascii="Arial" w:hAnsi="Arial" w:cs="Arial"/>
          <w:color w:val="000000" w:themeColor="text1"/>
          <w:sz w:val="22"/>
          <w:szCs w:val="22"/>
        </w:rPr>
      </w:pPr>
      <w:r w:rsidRPr="005367E4">
        <w:rPr>
          <w:rFonts w:ascii="Arial" w:hAnsi="Arial" w:cs="Arial"/>
          <w:color w:val="000000" w:themeColor="text1"/>
          <w:sz w:val="22"/>
          <w:szCs w:val="22"/>
        </w:rPr>
        <w:lastRenderedPageBreak/>
        <w:t>Con el fin de ofrecer una garantía adecuada a ahorradores y depositantes, conforme lo establece el literal a) del artículo 323 del Estatuto Orgánico del Sistema Financiero, el valor máximo asegurado se revisará cada tres (3) años.</w:t>
      </w:r>
    </w:p>
    <w:p w14:paraId="45699B60" w14:textId="77777777" w:rsidR="000A6F68" w:rsidRPr="005367E4" w:rsidRDefault="000A6F68" w:rsidP="000A6F68">
      <w:pPr>
        <w:autoSpaceDE w:val="0"/>
        <w:autoSpaceDN w:val="0"/>
        <w:adjustRightInd w:val="0"/>
        <w:jc w:val="both"/>
        <w:rPr>
          <w:rFonts w:ascii="Arial" w:hAnsi="Arial" w:cs="Arial"/>
          <w:b/>
          <w:color w:val="000000"/>
          <w:sz w:val="22"/>
          <w:szCs w:val="22"/>
        </w:rPr>
      </w:pPr>
    </w:p>
    <w:p w14:paraId="7F7A7FB9" w14:textId="579C8D64"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b/>
          <w:color w:val="000000"/>
          <w:sz w:val="22"/>
          <w:szCs w:val="22"/>
        </w:rPr>
        <w:t>PARÁGRAFO PRIMERO.</w:t>
      </w:r>
      <w:r w:rsidR="00BD2270">
        <w:rPr>
          <w:rFonts w:ascii="Arial" w:hAnsi="Arial" w:cs="Arial"/>
          <w:b/>
          <w:color w:val="000000"/>
          <w:sz w:val="22"/>
          <w:szCs w:val="22"/>
        </w:rPr>
        <w:t xml:space="preserve"> </w:t>
      </w:r>
      <w:r w:rsidRPr="005367E4">
        <w:rPr>
          <w:rFonts w:ascii="Arial" w:hAnsi="Arial" w:cs="Arial"/>
          <w:color w:val="000000"/>
          <w:sz w:val="22"/>
          <w:szCs w:val="22"/>
        </w:rPr>
        <w:t>Cuando el titular de la acreencia sea una institución administradora de patrimonios autónomos, de mandatos o de encargos fiduciarios, cada patrimonio autónomo, cada mandato o cada encargo fiduciario se considerará individualmente para efectos del reconocimiento del Seguro de Depósitos. En cualquier caso, los fondos y patrimonios autónomos se tratarán, cada uno, como una sola persona.</w:t>
      </w:r>
    </w:p>
    <w:p w14:paraId="1982D1D9" w14:textId="77777777" w:rsidR="000A6F68" w:rsidRPr="005367E4" w:rsidRDefault="000A6F68" w:rsidP="000A6F68">
      <w:pPr>
        <w:autoSpaceDE w:val="0"/>
        <w:autoSpaceDN w:val="0"/>
        <w:adjustRightInd w:val="0"/>
        <w:jc w:val="both"/>
        <w:rPr>
          <w:rFonts w:ascii="Arial" w:hAnsi="Arial" w:cs="Arial"/>
          <w:color w:val="000000"/>
          <w:sz w:val="22"/>
          <w:szCs w:val="22"/>
        </w:rPr>
      </w:pPr>
    </w:p>
    <w:p w14:paraId="4AB92C33" w14:textId="74090378"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b/>
          <w:color w:val="000000"/>
          <w:sz w:val="22"/>
          <w:szCs w:val="22"/>
        </w:rPr>
        <w:t xml:space="preserve">PARÁGRAFO SEGUNDO. </w:t>
      </w:r>
      <w:r w:rsidRPr="005367E4">
        <w:rPr>
          <w:rFonts w:ascii="Arial" w:hAnsi="Arial" w:cs="Arial"/>
          <w:color w:val="000000"/>
          <w:sz w:val="22"/>
          <w:szCs w:val="22"/>
        </w:rPr>
        <w:t xml:space="preserve">Serán causales de suspensión de pago las contempladas en el artículo 323 literal d) del Estatuto Orgánico del Sistema Financiero. </w:t>
      </w:r>
    </w:p>
    <w:p w14:paraId="3CE18D79" w14:textId="77777777" w:rsidR="000A6F68" w:rsidRPr="005367E4" w:rsidRDefault="000A6F68" w:rsidP="000A6F68">
      <w:pPr>
        <w:autoSpaceDE w:val="0"/>
        <w:autoSpaceDN w:val="0"/>
        <w:adjustRightInd w:val="0"/>
        <w:jc w:val="both"/>
        <w:rPr>
          <w:rFonts w:ascii="Arial" w:hAnsi="Arial" w:cs="Arial"/>
          <w:b/>
          <w:color w:val="000000"/>
          <w:sz w:val="22"/>
          <w:szCs w:val="22"/>
        </w:rPr>
      </w:pPr>
    </w:p>
    <w:p w14:paraId="33FD38D8" w14:textId="50A6C49A"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b/>
          <w:bCs/>
          <w:color w:val="000000"/>
          <w:sz w:val="22"/>
          <w:szCs w:val="22"/>
        </w:rPr>
        <w:t xml:space="preserve">ARTÍCULO </w:t>
      </w:r>
      <w:r w:rsidR="00AC5551" w:rsidRPr="00D8701D">
        <w:rPr>
          <w:rFonts w:ascii="Arial" w:hAnsi="Arial" w:cs="Arial"/>
          <w:b/>
          <w:bCs/>
          <w:color w:val="000000"/>
          <w:sz w:val="22"/>
          <w:szCs w:val="22"/>
        </w:rPr>
        <w:t>DECIMO</w:t>
      </w:r>
      <w:r w:rsidR="00AC5551">
        <w:rPr>
          <w:rFonts w:ascii="Arial" w:hAnsi="Arial" w:cs="Arial"/>
          <w:b/>
          <w:bCs/>
          <w:color w:val="000000"/>
          <w:sz w:val="22"/>
          <w:szCs w:val="22"/>
        </w:rPr>
        <w:t>TERCERO</w:t>
      </w:r>
      <w:r w:rsidRPr="005367E4">
        <w:rPr>
          <w:rFonts w:ascii="Arial" w:hAnsi="Arial" w:cs="Arial"/>
          <w:b/>
          <w:bCs/>
          <w:color w:val="000000"/>
          <w:sz w:val="22"/>
          <w:szCs w:val="22"/>
        </w:rPr>
        <w:t xml:space="preserve">. </w:t>
      </w:r>
      <w:r w:rsidR="00D8701D">
        <w:rPr>
          <w:rFonts w:ascii="Arial" w:hAnsi="Arial" w:cs="Arial"/>
          <w:b/>
          <w:bCs/>
          <w:color w:val="000000"/>
          <w:sz w:val="22"/>
          <w:szCs w:val="22"/>
        </w:rPr>
        <w:t>V</w:t>
      </w:r>
      <w:r w:rsidRPr="005367E4">
        <w:rPr>
          <w:rFonts w:ascii="Arial" w:hAnsi="Arial" w:cs="Arial"/>
          <w:b/>
          <w:color w:val="000000"/>
          <w:sz w:val="22"/>
          <w:szCs w:val="22"/>
        </w:rPr>
        <w:t>ALOR MÁXIMO ASEGURADO Y PAGO DEL SEGURO DE DEPÓSITOS PARA LAS SEDPES, CUANDO OBRAN COMO DEPOSITANTE EN LAS INSTITUCIONES INSCRITAS.</w:t>
      </w:r>
      <w:r w:rsidRPr="005367E4">
        <w:rPr>
          <w:rFonts w:ascii="Arial" w:hAnsi="Arial" w:cs="Arial"/>
          <w:color w:val="000000"/>
          <w:sz w:val="22"/>
          <w:szCs w:val="22"/>
        </w:rPr>
        <w:t xml:space="preserve"> Para efectos de brindar protección a los depositantes de las SEDPES, </w:t>
      </w:r>
      <w:r>
        <w:rPr>
          <w:rFonts w:ascii="Arial" w:hAnsi="Arial" w:cs="Arial"/>
          <w:color w:val="000000"/>
          <w:sz w:val="22"/>
          <w:szCs w:val="22"/>
        </w:rPr>
        <w:t>é</w:t>
      </w:r>
      <w:r w:rsidRPr="005367E4">
        <w:rPr>
          <w:rFonts w:ascii="Arial" w:hAnsi="Arial" w:cs="Arial"/>
          <w:color w:val="000000"/>
          <w:sz w:val="22"/>
          <w:szCs w:val="22"/>
        </w:rPr>
        <w:t>stas tendrán derecho a recibir hasta cincuenta millones de pesos ($50.000.000), por cada uno de los depósitos de bajo monto y de los depósitos ordinarios</w:t>
      </w:r>
      <w:r w:rsidRPr="005367E4" w:rsidDel="00FD735B">
        <w:rPr>
          <w:rFonts w:ascii="Arial" w:hAnsi="Arial" w:cs="Arial"/>
          <w:color w:val="000000"/>
          <w:sz w:val="22"/>
          <w:szCs w:val="22"/>
        </w:rPr>
        <w:t xml:space="preserve"> </w:t>
      </w:r>
      <w:r w:rsidRPr="005367E4">
        <w:rPr>
          <w:rFonts w:ascii="Arial" w:hAnsi="Arial" w:cs="Arial"/>
          <w:color w:val="000000"/>
          <w:sz w:val="22"/>
          <w:szCs w:val="22"/>
        </w:rPr>
        <w:t>cuyos recursos se encuentren agregados en una de las acreencias amparadas, a las que se refiere el artículo cuarto de la Resolución</w:t>
      </w:r>
      <w:r w:rsidRPr="005367E4">
        <w:rPr>
          <w:rFonts w:ascii="Arial" w:hAnsi="Arial" w:cs="Arial"/>
          <w:b/>
          <w:bCs/>
          <w:color w:val="000000"/>
          <w:sz w:val="22"/>
          <w:szCs w:val="22"/>
        </w:rPr>
        <w:t xml:space="preserve"> </w:t>
      </w:r>
      <w:r w:rsidRPr="005367E4">
        <w:rPr>
          <w:rFonts w:ascii="Arial" w:hAnsi="Arial" w:cs="Arial"/>
          <w:color w:val="000000"/>
          <w:sz w:val="22"/>
          <w:szCs w:val="22"/>
        </w:rPr>
        <w:t xml:space="preserve">vigente que regula el Seguro de Depósitos para establecimientos de crédito inscritos en el Fondo. </w:t>
      </w:r>
    </w:p>
    <w:p w14:paraId="147A80CD" w14:textId="77777777" w:rsidR="000A6F68" w:rsidRPr="005367E4" w:rsidRDefault="000A6F68" w:rsidP="000A6F68">
      <w:pPr>
        <w:autoSpaceDE w:val="0"/>
        <w:autoSpaceDN w:val="0"/>
        <w:adjustRightInd w:val="0"/>
        <w:jc w:val="both"/>
        <w:rPr>
          <w:rFonts w:ascii="Arial" w:hAnsi="Arial" w:cs="Arial"/>
          <w:color w:val="000000"/>
          <w:sz w:val="22"/>
          <w:szCs w:val="22"/>
        </w:rPr>
      </w:pPr>
    </w:p>
    <w:p w14:paraId="3AABF324" w14:textId="77777777"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color w:val="000000"/>
          <w:sz w:val="22"/>
          <w:szCs w:val="22"/>
        </w:rPr>
        <w:t>Lo anterior en los términos establecidos en el artículo 1 de la Ley 1735 de 2014 y el artículo 2.38.1.1.4 del Decreto 2555 de 2010, y demás normas que los modifiquen, adicionen o sustituyan.</w:t>
      </w:r>
    </w:p>
    <w:p w14:paraId="719B8E88" w14:textId="77777777" w:rsidR="000A6F68" w:rsidRPr="005367E4" w:rsidRDefault="000A6F68" w:rsidP="000A6F68">
      <w:pPr>
        <w:autoSpaceDE w:val="0"/>
        <w:autoSpaceDN w:val="0"/>
        <w:adjustRightInd w:val="0"/>
        <w:jc w:val="both"/>
        <w:rPr>
          <w:rFonts w:ascii="Arial" w:hAnsi="Arial" w:cs="Arial"/>
          <w:b/>
          <w:bCs/>
          <w:color w:val="000000"/>
          <w:sz w:val="22"/>
          <w:szCs w:val="22"/>
        </w:rPr>
      </w:pPr>
    </w:p>
    <w:p w14:paraId="77B7EB2B" w14:textId="77777777"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color w:val="000000"/>
          <w:sz w:val="22"/>
          <w:szCs w:val="22"/>
        </w:rPr>
        <w:t>El Fondo realizará el pago del Seguro de Depósitos respecto de las acreencias amparadas vigentes a la fecha de la toma de posesión para liquidar del establecimiento de crédito inscrito, en los términos, plazos y condiciones establecidos para tales efectos.</w:t>
      </w:r>
    </w:p>
    <w:p w14:paraId="65C5C2E2" w14:textId="77777777" w:rsidR="000A6F68" w:rsidRPr="005367E4" w:rsidRDefault="000A6F68" w:rsidP="000A6F68">
      <w:pPr>
        <w:autoSpaceDE w:val="0"/>
        <w:autoSpaceDN w:val="0"/>
        <w:adjustRightInd w:val="0"/>
        <w:jc w:val="both"/>
        <w:rPr>
          <w:rFonts w:ascii="Arial" w:hAnsi="Arial" w:cs="Arial"/>
          <w:b/>
          <w:bCs/>
          <w:color w:val="000000"/>
          <w:sz w:val="22"/>
          <w:szCs w:val="22"/>
        </w:rPr>
      </w:pPr>
    </w:p>
    <w:p w14:paraId="68EC4BE5" w14:textId="32A9661E"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b/>
          <w:color w:val="000000"/>
          <w:sz w:val="22"/>
          <w:szCs w:val="22"/>
        </w:rPr>
        <w:t xml:space="preserve">PARÁGRAFO </w:t>
      </w:r>
      <w:r w:rsidR="004A1AF2">
        <w:rPr>
          <w:rFonts w:ascii="Arial" w:hAnsi="Arial" w:cs="Arial"/>
          <w:b/>
          <w:color w:val="000000"/>
          <w:sz w:val="22"/>
          <w:szCs w:val="22"/>
        </w:rPr>
        <w:t>PRIMERO</w:t>
      </w:r>
      <w:r w:rsidRPr="005367E4">
        <w:rPr>
          <w:rFonts w:ascii="Arial" w:hAnsi="Arial" w:cs="Arial"/>
          <w:b/>
          <w:color w:val="000000"/>
          <w:sz w:val="22"/>
          <w:szCs w:val="22"/>
        </w:rPr>
        <w:t xml:space="preserve">. </w:t>
      </w:r>
      <w:r w:rsidRPr="005367E4">
        <w:rPr>
          <w:rFonts w:ascii="Arial" w:hAnsi="Arial" w:cs="Arial"/>
          <w:color w:val="000000"/>
          <w:sz w:val="22"/>
          <w:szCs w:val="22"/>
        </w:rPr>
        <w:t>Para el pago del Seguro de Depósitos, las SEDPES deberán transmitir al Fondo la información de los recursos que se encuentren agregados dentro de los depósitos a la vista, en los términos, plazos y condiciones que se establezcan en la Circular Externa que para tales efectos expida el Fondo.</w:t>
      </w:r>
    </w:p>
    <w:p w14:paraId="4C288587" w14:textId="77777777" w:rsidR="000A6F68" w:rsidRDefault="000A6F68" w:rsidP="000A6F68">
      <w:pPr>
        <w:autoSpaceDE w:val="0"/>
        <w:autoSpaceDN w:val="0"/>
        <w:adjustRightInd w:val="0"/>
        <w:jc w:val="both"/>
        <w:rPr>
          <w:rFonts w:ascii="Arial" w:hAnsi="Arial" w:cs="Arial"/>
          <w:b/>
          <w:bCs/>
          <w:color w:val="000000"/>
          <w:sz w:val="22"/>
          <w:szCs w:val="22"/>
        </w:rPr>
      </w:pPr>
    </w:p>
    <w:p w14:paraId="42781A85" w14:textId="1143B2D4" w:rsidR="004A1AF2" w:rsidRPr="0084072F" w:rsidRDefault="004A1AF2" w:rsidP="004A1AF2">
      <w:pPr>
        <w:autoSpaceDE w:val="0"/>
        <w:autoSpaceDN w:val="0"/>
        <w:adjustRightInd w:val="0"/>
        <w:jc w:val="both"/>
        <w:rPr>
          <w:rFonts w:ascii="Arial" w:hAnsi="Arial" w:cs="Arial"/>
          <w:color w:val="000000"/>
          <w:sz w:val="22"/>
          <w:szCs w:val="22"/>
        </w:rPr>
      </w:pPr>
      <w:r w:rsidRPr="0084072F">
        <w:rPr>
          <w:rFonts w:ascii="Arial" w:hAnsi="Arial" w:cs="Arial"/>
          <w:b/>
          <w:color w:val="000000"/>
          <w:sz w:val="22"/>
          <w:szCs w:val="22"/>
        </w:rPr>
        <w:t xml:space="preserve">PARÁGRAFO SEGUNDO. Suspensión de pago. </w:t>
      </w:r>
      <w:r w:rsidRPr="0084072F">
        <w:rPr>
          <w:rFonts w:ascii="Arial" w:hAnsi="Arial" w:cs="Arial"/>
          <w:color w:val="000000"/>
          <w:sz w:val="22"/>
          <w:szCs w:val="22"/>
        </w:rPr>
        <w:t xml:space="preserve">Serán causales de suspensión de pago las contempladas en el artículo 323 literal d) del Estatuto Orgánico del Sistema Financiero. </w:t>
      </w:r>
    </w:p>
    <w:p w14:paraId="149E42C6" w14:textId="77777777" w:rsidR="004A1AF2" w:rsidRPr="0084072F" w:rsidRDefault="004A1AF2" w:rsidP="004A1AF2">
      <w:pPr>
        <w:autoSpaceDE w:val="0"/>
        <w:autoSpaceDN w:val="0"/>
        <w:adjustRightInd w:val="0"/>
        <w:jc w:val="both"/>
        <w:rPr>
          <w:rFonts w:ascii="Arial" w:hAnsi="Arial" w:cs="Arial"/>
          <w:color w:val="000000"/>
          <w:sz w:val="22"/>
          <w:szCs w:val="22"/>
        </w:rPr>
      </w:pPr>
    </w:p>
    <w:p w14:paraId="64CC882B" w14:textId="292DBB6B" w:rsidR="000A6F68" w:rsidRPr="005367E4" w:rsidRDefault="000A6F68" w:rsidP="000A6F68">
      <w:pPr>
        <w:autoSpaceDE w:val="0"/>
        <w:autoSpaceDN w:val="0"/>
        <w:adjustRightInd w:val="0"/>
        <w:jc w:val="both"/>
        <w:rPr>
          <w:rFonts w:ascii="Arial" w:hAnsi="Arial" w:cs="Arial"/>
          <w:bCs/>
          <w:color w:val="000000"/>
          <w:sz w:val="22"/>
          <w:szCs w:val="22"/>
        </w:rPr>
      </w:pPr>
      <w:r w:rsidRPr="005367E4">
        <w:rPr>
          <w:rFonts w:ascii="Arial" w:hAnsi="Arial" w:cs="Arial"/>
          <w:b/>
          <w:bCs/>
          <w:color w:val="000000"/>
          <w:sz w:val="22"/>
          <w:szCs w:val="22"/>
        </w:rPr>
        <w:t xml:space="preserve">ARTÍCULO </w:t>
      </w:r>
      <w:r w:rsidR="00AC5551" w:rsidRPr="005367E4">
        <w:rPr>
          <w:rFonts w:ascii="Arial" w:hAnsi="Arial" w:cs="Arial"/>
          <w:b/>
          <w:bCs/>
          <w:color w:val="000000"/>
          <w:sz w:val="22"/>
          <w:szCs w:val="22"/>
        </w:rPr>
        <w:t>DECIMO</w:t>
      </w:r>
      <w:r w:rsidR="00AC5551">
        <w:rPr>
          <w:rFonts w:ascii="Arial" w:hAnsi="Arial" w:cs="Arial"/>
          <w:b/>
          <w:bCs/>
          <w:color w:val="000000"/>
          <w:sz w:val="22"/>
          <w:szCs w:val="22"/>
        </w:rPr>
        <w:t>CUARTO</w:t>
      </w:r>
      <w:r w:rsidRPr="005367E4">
        <w:rPr>
          <w:rFonts w:ascii="Arial" w:hAnsi="Arial" w:cs="Arial"/>
          <w:b/>
          <w:bCs/>
          <w:color w:val="000000"/>
          <w:sz w:val="22"/>
          <w:szCs w:val="22"/>
        </w:rPr>
        <w:t>. ALCANCE DE LA COBERTURA.</w:t>
      </w:r>
      <w:r w:rsidRPr="005367E4">
        <w:rPr>
          <w:rFonts w:ascii="Arial" w:hAnsi="Arial" w:cs="Arial"/>
          <w:bCs/>
          <w:color w:val="000000"/>
          <w:sz w:val="22"/>
          <w:szCs w:val="22"/>
        </w:rPr>
        <w:t xml:space="preserve">  Cuando se trate de acreencias remuneradas, el Seguro de Depósitos amparará el valor del capital y los intereses corrientes, pero sólo aquellos causados y no pagados a la fecha de expedición de la </w:t>
      </w:r>
      <w:r w:rsidR="00785F64">
        <w:rPr>
          <w:rFonts w:ascii="Arial" w:hAnsi="Arial" w:cs="Arial"/>
          <w:bCs/>
          <w:color w:val="000000"/>
          <w:sz w:val="22"/>
          <w:szCs w:val="22"/>
        </w:rPr>
        <w:t>Re</w:t>
      </w:r>
      <w:r w:rsidRPr="005367E4">
        <w:rPr>
          <w:rFonts w:ascii="Arial" w:hAnsi="Arial" w:cs="Arial"/>
          <w:bCs/>
          <w:color w:val="000000"/>
          <w:sz w:val="22"/>
          <w:szCs w:val="22"/>
        </w:rPr>
        <w:t>solución de toma de posesión para liquidar, todo dentro de los límites establecidos en el artículo</w:t>
      </w:r>
      <w:r>
        <w:rPr>
          <w:rFonts w:ascii="Arial" w:hAnsi="Arial" w:cs="Arial"/>
          <w:bCs/>
          <w:color w:val="000000"/>
          <w:sz w:val="22"/>
          <w:szCs w:val="22"/>
        </w:rPr>
        <w:t xml:space="preserve"> </w:t>
      </w:r>
      <w:r w:rsidR="00785F64" w:rsidRPr="00785F64">
        <w:rPr>
          <w:rFonts w:ascii="Arial" w:hAnsi="Arial" w:cs="Arial"/>
          <w:bCs/>
          <w:color w:val="000000"/>
          <w:sz w:val="22"/>
          <w:szCs w:val="22"/>
        </w:rPr>
        <w:t xml:space="preserve">decimo </w:t>
      </w:r>
      <w:r w:rsidRPr="005367E4">
        <w:rPr>
          <w:rFonts w:ascii="Arial" w:hAnsi="Arial" w:cs="Arial"/>
          <w:bCs/>
          <w:color w:val="000000"/>
          <w:sz w:val="22"/>
          <w:szCs w:val="22"/>
        </w:rPr>
        <w:t>de la presente Resolución y sobre la base de lo previsto en el artículo primero de la misma.</w:t>
      </w:r>
    </w:p>
    <w:p w14:paraId="70ADE912" w14:textId="558E6DD3" w:rsidR="000A6F68" w:rsidRPr="005367E4" w:rsidRDefault="000A6F68" w:rsidP="000A6F68">
      <w:pPr>
        <w:autoSpaceDE w:val="0"/>
        <w:autoSpaceDN w:val="0"/>
        <w:adjustRightInd w:val="0"/>
        <w:jc w:val="both"/>
        <w:rPr>
          <w:rFonts w:ascii="Arial" w:hAnsi="Arial" w:cs="Arial"/>
          <w:color w:val="000000"/>
          <w:sz w:val="22"/>
          <w:szCs w:val="22"/>
        </w:rPr>
      </w:pPr>
      <w:r w:rsidRPr="005367E4">
        <w:rPr>
          <w:rFonts w:ascii="Arial" w:hAnsi="Arial" w:cs="Arial"/>
          <w:b/>
          <w:bCs/>
          <w:color w:val="000000"/>
          <w:sz w:val="22"/>
          <w:szCs w:val="22"/>
        </w:rPr>
        <w:lastRenderedPageBreak/>
        <w:t xml:space="preserve">ARTÍCULO </w:t>
      </w:r>
      <w:r w:rsidR="00AC5551" w:rsidRPr="005367E4">
        <w:rPr>
          <w:rFonts w:ascii="Arial" w:hAnsi="Arial" w:cs="Arial"/>
          <w:b/>
          <w:bCs/>
          <w:color w:val="000000"/>
          <w:sz w:val="22"/>
          <w:szCs w:val="22"/>
        </w:rPr>
        <w:t>DECIMO</w:t>
      </w:r>
      <w:r w:rsidR="00AC5551">
        <w:rPr>
          <w:rFonts w:ascii="Arial" w:hAnsi="Arial" w:cs="Arial"/>
          <w:b/>
          <w:bCs/>
          <w:color w:val="000000"/>
          <w:sz w:val="22"/>
          <w:szCs w:val="22"/>
        </w:rPr>
        <w:t>QUINTO</w:t>
      </w:r>
      <w:r w:rsidRPr="005367E4">
        <w:rPr>
          <w:rFonts w:ascii="Arial" w:hAnsi="Arial" w:cs="Arial"/>
          <w:b/>
          <w:bCs/>
          <w:color w:val="000000"/>
          <w:sz w:val="22"/>
          <w:szCs w:val="22"/>
        </w:rPr>
        <w:t>.</w:t>
      </w:r>
      <w:r w:rsidR="00EF13B4">
        <w:rPr>
          <w:rFonts w:ascii="Arial" w:hAnsi="Arial" w:cs="Arial"/>
          <w:b/>
          <w:bCs/>
          <w:color w:val="000000"/>
          <w:sz w:val="22"/>
          <w:szCs w:val="22"/>
        </w:rPr>
        <w:t xml:space="preserve"> </w:t>
      </w:r>
      <w:r w:rsidRPr="005367E4">
        <w:rPr>
          <w:rFonts w:ascii="Arial" w:hAnsi="Arial" w:cs="Arial"/>
          <w:b/>
          <w:bCs/>
          <w:color w:val="000000"/>
          <w:sz w:val="22"/>
          <w:szCs w:val="22"/>
        </w:rPr>
        <w:t>SUBROGACIÓN A FAVOR DEL FONDO.</w:t>
      </w:r>
      <w:r w:rsidRPr="005367E4">
        <w:rPr>
          <w:rFonts w:ascii="Arial" w:hAnsi="Arial" w:cs="Arial"/>
          <w:color w:val="000000"/>
          <w:sz w:val="22"/>
          <w:szCs w:val="22"/>
        </w:rPr>
        <w:t xml:space="preserve">  De conformidad con el numeral 3º del artículo 9.1.3.2.4 del Decreto 2555 de 2010 o las normas que lo modifiquen o sustituyan y el numeral 1 del artículo 300 del Estatuto Orgánico del Sistema Financiero, modificado por el artículo 25 de la </w:t>
      </w:r>
      <w:hyperlink r:id="rId8" w:tooltip="Haga clic para abrir TODA la Ley 510 de 1999" w:history="1">
        <w:r w:rsidRPr="005367E4">
          <w:rPr>
            <w:rFonts w:ascii="Arial" w:hAnsi="Arial" w:cs="Arial"/>
            <w:color w:val="000000"/>
            <w:sz w:val="22"/>
            <w:szCs w:val="22"/>
          </w:rPr>
          <w:t>Ley 510 de 1999</w:t>
        </w:r>
      </w:hyperlink>
      <w:r w:rsidRPr="005367E4">
        <w:rPr>
          <w:rFonts w:ascii="Arial" w:hAnsi="Arial" w:cs="Arial"/>
          <w:color w:val="000000"/>
          <w:sz w:val="22"/>
          <w:szCs w:val="22"/>
        </w:rPr>
        <w:t xml:space="preserve">, cuando el Fondo de Garantías de Instituciones Financieras pague el Seguro de Depósitos, en las resoluciones de reconocimiento de acreencias a cargo de la SEDPE en liquidación, el liquidador dejará expresa constancia que el Fondo se subroga parcialmente, por lo cual tendrá derecho a obtener el pago de las sumas que haya cancelado, con la misma prelación y en las mismas condiciones que los depositantes o ahorradores a los que hizo el pago. </w:t>
      </w:r>
    </w:p>
    <w:p w14:paraId="5AD35BB6" w14:textId="77777777" w:rsidR="000A6F68" w:rsidRPr="005367E4" w:rsidRDefault="000A6F68" w:rsidP="000A6F68">
      <w:pPr>
        <w:autoSpaceDE w:val="0"/>
        <w:autoSpaceDN w:val="0"/>
        <w:adjustRightInd w:val="0"/>
        <w:jc w:val="both"/>
        <w:rPr>
          <w:rFonts w:ascii="Arial" w:hAnsi="Arial" w:cs="Arial"/>
          <w:color w:val="000000"/>
          <w:sz w:val="22"/>
          <w:szCs w:val="22"/>
        </w:rPr>
      </w:pPr>
    </w:p>
    <w:p w14:paraId="79723ED6" w14:textId="47C64846" w:rsidR="000A6F68" w:rsidRPr="00C247BC" w:rsidRDefault="000A6F68" w:rsidP="00845692">
      <w:pPr>
        <w:autoSpaceDE w:val="0"/>
        <w:autoSpaceDN w:val="0"/>
        <w:adjustRightInd w:val="0"/>
        <w:jc w:val="both"/>
        <w:rPr>
          <w:rFonts w:ascii="Arial" w:hAnsi="Arial" w:cs="Arial"/>
          <w:b/>
          <w:bCs/>
          <w:strike/>
          <w:sz w:val="22"/>
          <w:szCs w:val="22"/>
        </w:rPr>
      </w:pPr>
      <w:r w:rsidRPr="00C247BC">
        <w:rPr>
          <w:rFonts w:ascii="Arial" w:hAnsi="Arial" w:cs="Arial"/>
          <w:b/>
          <w:bCs/>
          <w:strike/>
          <w:sz w:val="22"/>
          <w:szCs w:val="22"/>
        </w:rPr>
        <w:t>ARTÍCULO DECIMO</w:t>
      </w:r>
      <w:r w:rsidR="00EF13B4" w:rsidRPr="00C247BC">
        <w:rPr>
          <w:rFonts w:ascii="Arial" w:hAnsi="Arial" w:cs="Arial"/>
          <w:b/>
          <w:bCs/>
          <w:strike/>
          <w:sz w:val="22"/>
          <w:szCs w:val="22"/>
        </w:rPr>
        <w:t>CUARTO</w:t>
      </w:r>
      <w:r w:rsidRPr="00C247BC">
        <w:rPr>
          <w:rFonts w:ascii="Arial" w:hAnsi="Arial" w:cs="Arial"/>
          <w:b/>
          <w:bCs/>
          <w:strike/>
          <w:sz w:val="22"/>
          <w:szCs w:val="22"/>
        </w:rPr>
        <w:t>. ACREENCIAS NO AMPARADAS POR EL SEGURO DE DEPÓSITOS. El Seguro de Depósitos no amparará en ningún caso intereses de mora a cargo de la SEDPE en liquidación, ni otorgará derecho a sus beneficiarios para exigir tal clase de intereses al Fondo de Garantías de Instituciones Financieras.</w:t>
      </w:r>
    </w:p>
    <w:p w14:paraId="2EE1A343" w14:textId="0614B855" w:rsidR="000A6F68" w:rsidRPr="00C247BC" w:rsidRDefault="000A6F68" w:rsidP="00845692">
      <w:pPr>
        <w:autoSpaceDE w:val="0"/>
        <w:autoSpaceDN w:val="0"/>
        <w:adjustRightInd w:val="0"/>
        <w:jc w:val="both"/>
        <w:rPr>
          <w:rFonts w:ascii="Arial" w:hAnsi="Arial" w:cs="Arial"/>
          <w:b/>
          <w:bCs/>
          <w:strike/>
          <w:sz w:val="22"/>
          <w:szCs w:val="22"/>
        </w:rPr>
      </w:pPr>
    </w:p>
    <w:p w14:paraId="2140FD36" w14:textId="7137F235" w:rsidR="000A6F68" w:rsidRPr="00C247BC" w:rsidRDefault="000A6F68" w:rsidP="00845692">
      <w:pPr>
        <w:autoSpaceDE w:val="0"/>
        <w:autoSpaceDN w:val="0"/>
        <w:adjustRightInd w:val="0"/>
        <w:jc w:val="both"/>
        <w:rPr>
          <w:rFonts w:ascii="Arial" w:hAnsi="Arial" w:cs="Arial"/>
          <w:b/>
          <w:bCs/>
          <w:strike/>
          <w:sz w:val="22"/>
          <w:szCs w:val="22"/>
        </w:rPr>
      </w:pPr>
      <w:r w:rsidRPr="00C247BC">
        <w:rPr>
          <w:rFonts w:ascii="Arial" w:hAnsi="Arial" w:cs="Arial"/>
          <w:b/>
          <w:bCs/>
          <w:strike/>
          <w:sz w:val="22"/>
          <w:szCs w:val="22"/>
        </w:rPr>
        <w:t>Están excluidas del amparo del Seguro de Depósitos las acreencias cuyo(s) titular(es) las haya(n) adquirido en pago de pasivos a cargo de la institución en liquidación, no cubiertos por el mencionado Seguro.</w:t>
      </w:r>
    </w:p>
    <w:p w14:paraId="36CC6CC9" w14:textId="77777777" w:rsidR="00B84964" w:rsidRDefault="00B84964" w:rsidP="000A6F68">
      <w:pPr>
        <w:autoSpaceDE w:val="0"/>
        <w:autoSpaceDN w:val="0"/>
        <w:adjustRightInd w:val="0"/>
        <w:jc w:val="both"/>
        <w:rPr>
          <w:rFonts w:ascii="Arial" w:hAnsi="Arial" w:cs="Arial"/>
          <w:sz w:val="22"/>
          <w:szCs w:val="22"/>
        </w:rPr>
      </w:pPr>
    </w:p>
    <w:p w14:paraId="06CC8579" w14:textId="77777777" w:rsidR="008D78B9" w:rsidRDefault="008D78B9" w:rsidP="00F658D8">
      <w:pPr>
        <w:autoSpaceDE w:val="0"/>
        <w:autoSpaceDN w:val="0"/>
        <w:adjustRightInd w:val="0"/>
        <w:jc w:val="center"/>
        <w:rPr>
          <w:rFonts w:ascii="Arial" w:hAnsi="Arial" w:cs="Arial"/>
          <w:b/>
          <w:bCs/>
          <w:color w:val="000000"/>
          <w:sz w:val="22"/>
          <w:szCs w:val="22"/>
        </w:rPr>
      </w:pPr>
    </w:p>
    <w:p w14:paraId="5E83A85D" w14:textId="42A31E41" w:rsidR="00B84964" w:rsidRPr="005367E4" w:rsidRDefault="00B84964" w:rsidP="00F658D8">
      <w:pPr>
        <w:autoSpaceDE w:val="0"/>
        <w:autoSpaceDN w:val="0"/>
        <w:adjustRightInd w:val="0"/>
        <w:jc w:val="center"/>
        <w:rPr>
          <w:rFonts w:ascii="Arial" w:hAnsi="Arial" w:cs="Arial"/>
          <w:sz w:val="22"/>
          <w:szCs w:val="22"/>
        </w:rPr>
      </w:pPr>
      <w:r w:rsidRPr="005367E4">
        <w:rPr>
          <w:rFonts w:ascii="Arial" w:hAnsi="Arial" w:cs="Arial"/>
          <w:b/>
          <w:bCs/>
          <w:color w:val="000000"/>
          <w:sz w:val="22"/>
          <w:szCs w:val="22"/>
        </w:rPr>
        <w:t xml:space="preserve">CAPÍTULO </w:t>
      </w:r>
      <w:r>
        <w:rPr>
          <w:rFonts w:ascii="Arial" w:hAnsi="Arial" w:cs="Arial"/>
          <w:b/>
          <w:bCs/>
          <w:color w:val="000000"/>
          <w:sz w:val="22"/>
          <w:szCs w:val="22"/>
        </w:rPr>
        <w:t>IV</w:t>
      </w:r>
      <w:r w:rsidRPr="005367E4">
        <w:rPr>
          <w:rFonts w:ascii="Arial" w:hAnsi="Arial" w:cs="Arial"/>
          <w:b/>
          <w:bCs/>
          <w:color w:val="000000"/>
          <w:sz w:val="22"/>
          <w:szCs w:val="22"/>
        </w:rPr>
        <w:t xml:space="preserve"> </w:t>
      </w:r>
      <w:r w:rsidR="00F658D8">
        <w:rPr>
          <w:rFonts w:ascii="Arial" w:hAnsi="Arial" w:cs="Arial"/>
          <w:b/>
          <w:bCs/>
          <w:color w:val="000000"/>
          <w:sz w:val="22"/>
          <w:szCs w:val="22"/>
        </w:rPr>
        <w:t xml:space="preserve">- </w:t>
      </w:r>
      <w:r w:rsidR="00F658D8" w:rsidRPr="005367E4">
        <w:rPr>
          <w:rFonts w:ascii="Arial" w:hAnsi="Arial" w:cs="Arial"/>
          <w:b/>
          <w:sz w:val="22"/>
          <w:szCs w:val="22"/>
        </w:rPr>
        <w:t>INFORMACIÓN PARA LA PREPARACIÓN Y EL PAGO DEL SEGURO DE DEPÓSITOS</w:t>
      </w:r>
    </w:p>
    <w:p w14:paraId="553EB91D" w14:textId="77777777" w:rsidR="000A6F68" w:rsidRPr="005367E4" w:rsidRDefault="000A6F68" w:rsidP="000A6F68">
      <w:pPr>
        <w:autoSpaceDE w:val="0"/>
        <w:autoSpaceDN w:val="0"/>
        <w:adjustRightInd w:val="0"/>
        <w:jc w:val="both"/>
        <w:rPr>
          <w:rFonts w:ascii="Arial" w:hAnsi="Arial" w:cs="Arial"/>
          <w:color w:val="000000"/>
          <w:sz w:val="22"/>
          <w:szCs w:val="22"/>
        </w:rPr>
      </w:pPr>
    </w:p>
    <w:p w14:paraId="625065B9" w14:textId="1E14AA17" w:rsidR="000A6F68" w:rsidRPr="005367E4" w:rsidRDefault="000A6F68" w:rsidP="000A6F68">
      <w:pPr>
        <w:contextualSpacing/>
        <w:jc w:val="both"/>
        <w:rPr>
          <w:rFonts w:ascii="Arial" w:hAnsi="Arial" w:cs="Arial"/>
          <w:color w:val="000000"/>
          <w:sz w:val="22"/>
          <w:szCs w:val="22"/>
        </w:rPr>
      </w:pPr>
      <w:r w:rsidRPr="005367E4">
        <w:rPr>
          <w:rFonts w:ascii="Arial" w:hAnsi="Arial" w:cs="Arial"/>
          <w:b/>
          <w:sz w:val="22"/>
          <w:szCs w:val="22"/>
        </w:rPr>
        <w:t xml:space="preserve">ARTÍCULO </w:t>
      </w:r>
      <w:r w:rsidR="00AC5551" w:rsidRPr="005367E4">
        <w:rPr>
          <w:rFonts w:ascii="Arial" w:hAnsi="Arial" w:cs="Arial"/>
          <w:b/>
          <w:sz w:val="22"/>
          <w:szCs w:val="22"/>
        </w:rPr>
        <w:t>DECIMO</w:t>
      </w:r>
      <w:r w:rsidR="00AC5551">
        <w:rPr>
          <w:rFonts w:ascii="Arial" w:hAnsi="Arial" w:cs="Arial"/>
          <w:b/>
          <w:sz w:val="22"/>
          <w:szCs w:val="22"/>
        </w:rPr>
        <w:t>SEXTO</w:t>
      </w:r>
      <w:r w:rsidRPr="005367E4">
        <w:rPr>
          <w:rFonts w:ascii="Arial" w:hAnsi="Arial" w:cs="Arial"/>
          <w:b/>
          <w:sz w:val="22"/>
          <w:szCs w:val="22"/>
        </w:rPr>
        <w:t xml:space="preserve">. TRANSMISIÓN DE </w:t>
      </w:r>
      <w:r w:rsidR="00F658D8">
        <w:rPr>
          <w:rFonts w:ascii="Arial" w:hAnsi="Arial" w:cs="Arial"/>
          <w:b/>
          <w:sz w:val="22"/>
          <w:szCs w:val="22"/>
        </w:rPr>
        <w:t xml:space="preserve">LA </w:t>
      </w:r>
      <w:r w:rsidRPr="005367E4">
        <w:rPr>
          <w:rFonts w:ascii="Arial" w:hAnsi="Arial" w:cs="Arial"/>
          <w:b/>
          <w:sz w:val="22"/>
          <w:szCs w:val="22"/>
        </w:rPr>
        <w:t>INFORMACIÓN.</w:t>
      </w:r>
      <w:r w:rsidRPr="005367E4">
        <w:rPr>
          <w:rFonts w:ascii="Arial" w:hAnsi="Arial" w:cs="Arial"/>
          <w:sz w:val="22"/>
          <w:szCs w:val="22"/>
        </w:rPr>
        <w:t xml:space="preserve"> Con el propósito de </w:t>
      </w:r>
      <w:r w:rsidRPr="005367E4">
        <w:rPr>
          <w:rFonts w:ascii="Arial" w:hAnsi="Arial" w:cs="Arial"/>
          <w:color w:val="000000"/>
          <w:sz w:val="22"/>
          <w:szCs w:val="22"/>
        </w:rPr>
        <w:t>proteger a los depositantes mediante un pago oportuno del Seguro de Depósitos, las SEDPES inscritas deberán transmitir al Fondo la información de los saldos de las acreencias amparadas en los términos, plazos y condiciones que establezca el Fondo mediante Circular Externa.</w:t>
      </w:r>
    </w:p>
    <w:p w14:paraId="415B6264" w14:textId="77777777" w:rsidR="000A6F68" w:rsidRPr="005367E4" w:rsidRDefault="000A6F68" w:rsidP="000A6F68">
      <w:pPr>
        <w:contextualSpacing/>
        <w:jc w:val="both"/>
        <w:rPr>
          <w:rFonts w:ascii="Arial" w:hAnsi="Arial" w:cs="Arial"/>
          <w:color w:val="000000"/>
          <w:sz w:val="22"/>
          <w:szCs w:val="22"/>
        </w:rPr>
      </w:pPr>
    </w:p>
    <w:p w14:paraId="69DA7DA7" w14:textId="77777777" w:rsidR="000A6F68" w:rsidRPr="005367E4" w:rsidRDefault="000A6F68" w:rsidP="000A6F68">
      <w:pPr>
        <w:contextualSpacing/>
        <w:jc w:val="both"/>
        <w:rPr>
          <w:rFonts w:ascii="Arial" w:hAnsi="Arial" w:cs="Arial"/>
          <w:color w:val="000000"/>
          <w:sz w:val="22"/>
          <w:szCs w:val="22"/>
        </w:rPr>
      </w:pPr>
      <w:r w:rsidRPr="005367E4">
        <w:rPr>
          <w:rFonts w:ascii="Arial" w:hAnsi="Arial" w:cs="Arial"/>
          <w:color w:val="000000"/>
          <w:sz w:val="22"/>
          <w:szCs w:val="22"/>
        </w:rPr>
        <w:t xml:space="preserve">La mencionada información deberá ser transmitida en el “Formato de Depósitos Individuales </w:t>
      </w:r>
      <w:r w:rsidRPr="0084072F">
        <w:rPr>
          <w:rFonts w:ascii="Arial" w:hAnsi="Arial" w:cs="Arial"/>
          <w:b/>
          <w:bCs/>
          <w:strike/>
          <w:color w:val="000000"/>
          <w:sz w:val="22"/>
          <w:szCs w:val="22"/>
        </w:rPr>
        <w:t>– SEDPES</w:t>
      </w:r>
      <w:r w:rsidRPr="005367E4">
        <w:rPr>
          <w:rFonts w:ascii="Arial" w:hAnsi="Arial" w:cs="Arial"/>
          <w:color w:val="000000"/>
          <w:sz w:val="22"/>
          <w:szCs w:val="22"/>
        </w:rPr>
        <w:t xml:space="preserve">” cuyo detalle y características se encuentren descritas en la Circular Externa que expida el Fondo para tales efectos. El mencionado formato deberá ser firmado digitalmente por el representante legal de la entidad.  </w:t>
      </w:r>
    </w:p>
    <w:p w14:paraId="7E135C03" w14:textId="77777777" w:rsidR="000A6F68" w:rsidRPr="005367E4" w:rsidRDefault="000A6F68" w:rsidP="000A6F68">
      <w:pPr>
        <w:contextualSpacing/>
        <w:jc w:val="both"/>
        <w:rPr>
          <w:rFonts w:ascii="Arial" w:hAnsi="Arial" w:cs="Arial"/>
          <w:color w:val="000000"/>
          <w:sz w:val="22"/>
          <w:szCs w:val="22"/>
        </w:rPr>
      </w:pPr>
    </w:p>
    <w:p w14:paraId="47BDD1F4" w14:textId="0FA153B2" w:rsidR="000A6F68" w:rsidRPr="005367E4" w:rsidRDefault="000A6F68" w:rsidP="491408AF">
      <w:pPr>
        <w:contextualSpacing/>
        <w:jc w:val="both"/>
        <w:rPr>
          <w:rFonts w:ascii="Arial" w:hAnsi="Arial" w:cs="Arial"/>
          <w:color w:val="000000"/>
          <w:sz w:val="22"/>
          <w:szCs w:val="22"/>
        </w:rPr>
      </w:pPr>
      <w:r w:rsidRPr="491408AF">
        <w:rPr>
          <w:rFonts w:ascii="Arial" w:hAnsi="Arial" w:cs="Arial"/>
          <w:b/>
          <w:bCs/>
          <w:color w:val="000000" w:themeColor="text1"/>
          <w:sz w:val="22"/>
          <w:szCs w:val="22"/>
        </w:rPr>
        <w:t>PARÁGRAFO PRIMERO</w:t>
      </w:r>
      <w:r w:rsidR="00663E31" w:rsidRPr="491408AF">
        <w:rPr>
          <w:rFonts w:ascii="Arial" w:hAnsi="Arial" w:cs="Arial"/>
          <w:b/>
          <w:bCs/>
          <w:color w:val="000000" w:themeColor="text1"/>
          <w:sz w:val="22"/>
          <w:szCs w:val="22"/>
        </w:rPr>
        <w:t xml:space="preserve">. </w:t>
      </w:r>
      <w:r w:rsidRPr="491408AF">
        <w:rPr>
          <w:rFonts w:ascii="Arial" w:hAnsi="Arial" w:cs="Arial"/>
          <w:color w:val="000000" w:themeColor="text1"/>
          <w:sz w:val="22"/>
          <w:szCs w:val="22"/>
        </w:rPr>
        <w:t xml:space="preserve">La información recibida de las SEDPES inscritas, en cualquier evento, será utilizada única y exclusivamente con propósitos institucionales, para efectos de la preparación que se requiere para el pago del Seguro de Depósitos, para realizar éste cuando sea procedente, </w:t>
      </w:r>
      <w:bookmarkStart w:id="1" w:name="_Hlk44691040"/>
      <w:r w:rsidRPr="491408AF">
        <w:rPr>
          <w:rFonts w:ascii="Arial" w:hAnsi="Arial" w:cs="Arial"/>
          <w:color w:val="000000" w:themeColor="text1"/>
          <w:sz w:val="22"/>
          <w:szCs w:val="22"/>
        </w:rPr>
        <w:t xml:space="preserve">y para cualquier otra actividad misional </w:t>
      </w:r>
      <w:bookmarkEnd w:id="1"/>
      <w:r w:rsidRPr="491408AF">
        <w:rPr>
          <w:rFonts w:ascii="Arial" w:hAnsi="Arial" w:cs="Arial"/>
          <w:color w:val="000000" w:themeColor="text1"/>
          <w:sz w:val="22"/>
          <w:szCs w:val="22"/>
        </w:rPr>
        <w:t>del Fondo que haga parte de las funciones del mismo. En consecuencia, el Fondo velará por la confidencialidad, integridad, custodia y buen manejo de dicha información, garantizando la aplicación de las leyes, normas y principios constitucionales que regulan la reserva bancaria y el manejo de las bases de datos.</w:t>
      </w:r>
    </w:p>
    <w:p w14:paraId="582C6903" w14:textId="77777777" w:rsidR="000A6F68" w:rsidRPr="005367E4" w:rsidRDefault="000A6F68" w:rsidP="000A6F68">
      <w:pPr>
        <w:contextualSpacing/>
        <w:jc w:val="both"/>
        <w:rPr>
          <w:rFonts w:ascii="Arial" w:hAnsi="Arial" w:cs="Arial"/>
          <w:color w:val="000000"/>
          <w:sz w:val="22"/>
          <w:szCs w:val="22"/>
        </w:rPr>
      </w:pPr>
    </w:p>
    <w:p w14:paraId="3AC57D18" w14:textId="7502EE9A" w:rsidR="000A6F68" w:rsidRPr="005367E4" w:rsidRDefault="000A6F68" w:rsidP="000A6F68">
      <w:pPr>
        <w:contextualSpacing/>
        <w:jc w:val="both"/>
        <w:rPr>
          <w:rFonts w:ascii="Arial" w:hAnsi="Arial" w:cs="Arial"/>
          <w:color w:val="000000"/>
          <w:sz w:val="22"/>
          <w:szCs w:val="22"/>
        </w:rPr>
      </w:pPr>
      <w:r w:rsidRPr="005367E4">
        <w:rPr>
          <w:rFonts w:ascii="Arial" w:hAnsi="Arial" w:cs="Arial"/>
          <w:b/>
          <w:color w:val="000000"/>
          <w:sz w:val="22"/>
          <w:szCs w:val="22"/>
        </w:rPr>
        <w:lastRenderedPageBreak/>
        <w:t>PARÁGRAFO SEGUNDO</w:t>
      </w:r>
      <w:r w:rsidRPr="005367E4">
        <w:rPr>
          <w:rFonts w:ascii="Arial" w:hAnsi="Arial" w:cs="Arial"/>
          <w:color w:val="000000"/>
          <w:sz w:val="22"/>
          <w:szCs w:val="22"/>
        </w:rPr>
        <w:t>: El Fondo informará a la Superintendencia Financiera de Colombia sobre las SEDPES inscritas que incumplan el envío y calidad de la información contemplada en este capítulo.</w:t>
      </w:r>
    </w:p>
    <w:p w14:paraId="455CD5DD" w14:textId="77777777" w:rsidR="000A6F68" w:rsidRPr="005367E4" w:rsidRDefault="000A6F68" w:rsidP="000A6F68">
      <w:pPr>
        <w:contextualSpacing/>
        <w:jc w:val="both"/>
        <w:rPr>
          <w:rFonts w:ascii="Arial" w:hAnsi="Arial" w:cs="Arial"/>
          <w:color w:val="000000"/>
          <w:sz w:val="22"/>
          <w:szCs w:val="22"/>
        </w:rPr>
      </w:pPr>
    </w:p>
    <w:p w14:paraId="6CBA6DFB" w14:textId="7A21945F" w:rsidR="000A6F68" w:rsidRDefault="000A6F68" w:rsidP="000A6F68">
      <w:pPr>
        <w:jc w:val="both"/>
        <w:rPr>
          <w:rFonts w:ascii="Arial" w:hAnsi="Arial" w:cs="Arial"/>
          <w:color w:val="000000"/>
          <w:sz w:val="22"/>
          <w:szCs w:val="22"/>
        </w:rPr>
      </w:pPr>
      <w:r w:rsidRPr="0084072F">
        <w:rPr>
          <w:rFonts w:ascii="Arial" w:hAnsi="Arial" w:cs="Arial"/>
          <w:b/>
          <w:sz w:val="22"/>
          <w:szCs w:val="22"/>
        </w:rPr>
        <w:t xml:space="preserve">ARTÍCULO </w:t>
      </w:r>
      <w:r w:rsidR="008F54AC" w:rsidRPr="0084072F">
        <w:rPr>
          <w:rFonts w:ascii="Arial" w:hAnsi="Arial" w:cs="Arial"/>
          <w:b/>
          <w:sz w:val="22"/>
          <w:szCs w:val="22"/>
        </w:rPr>
        <w:t>DECIMOSÉPTIMO</w:t>
      </w:r>
      <w:r w:rsidRPr="0084072F">
        <w:rPr>
          <w:rFonts w:ascii="Arial" w:hAnsi="Arial" w:cs="Arial"/>
          <w:b/>
          <w:sz w:val="22"/>
          <w:szCs w:val="22"/>
        </w:rPr>
        <w:t xml:space="preserve">. </w:t>
      </w:r>
      <w:r w:rsidR="009F3A72" w:rsidRPr="0084072F">
        <w:rPr>
          <w:rFonts w:ascii="Arial" w:hAnsi="Arial" w:cs="Arial"/>
          <w:b/>
          <w:sz w:val="22"/>
          <w:szCs w:val="22"/>
        </w:rPr>
        <w:t>TRANSMISIÓN DEL F</w:t>
      </w:r>
      <w:r w:rsidR="00F42878" w:rsidRPr="0084072F">
        <w:rPr>
          <w:rFonts w:ascii="Arial" w:hAnsi="Arial" w:cs="Arial"/>
          <w:b/>
          <w:sz w:val="22"/>
          <w:szCs w:val="22"/>
        </w:rPr>
        <w:t xml:space="preserve">ORMATO DE </w:t>
      </w:r>
      <w:r w:rsidR="009F3A72" w:rsidRPr="0084072F">
        <w:rPr>
          <w:rFonts w:ascii="Arial" w:hAnsi="Arial" w:cs="Arial"/>
          <w:b/>
          <w:sz w:val="22"/>
          <w:szCs w:val="22"/>
        </w:rPr>
        <w:t>D</w:t>
      </w:r>
      <w:r w:rsidR="00F42878" w:rsidRPr="0084072F">
        <w:rPr>
          <w:rFonts w:ascii="Arial" w:hAnsi="Arial" w:cs="Arial"/>
          <w:b/>
          <w:sz w:val="22"/>
          <w:szCs w:val="22"/>
        </w:rPr>
        <w:t xml:space="preserve">EPÓSITOS </w:t>
      </w:r>
      <w:r w:rsidR="009F3A72" w:rsidRPr="0084072F">
        <w:rPr>
          <w:rFonts w:ascii="Arial" w:hAnsi="Arial" w:cs="Arial"/>
          <w:b/>
          <w:sz w:val="22"/>
          <w:szCs w:val="22"/>
        </w:rPr>
        <w:t>I</w:t>
      </w:r>
      <w:r w:rsidR="00F42878" w:rsidRPr="0084072F">
        <w:rPr>
          <w:rFonts w:ascii="Arial" w:hAnsi="Arial" w:cs="Arial"/>
          <w:b/>
          <w:sz w:val="22"/>
          <w:szCs w:val="22"/>
        </w:rPr>
        <w:t>NDIVIDUALES</w:t>
      </w:r>
      <w:r w:rsidR="009F3A72" w:rsidRPr="0084072F">
        <w:rPr>
          <w:rFonts w:ascii="Arial" w:hAnsi="Arial" w:cs="Arial"/>
          <w:b/>
          <w:sz w:val="22"/>
          <w:szCs w:val="22"/>
        </w:rPr>
        <w:t xml:space="preserve"> EN UN PROCESO DE LIQUIDACIÓN</w:t>
      </w:r>
      <w:r w:rsidR="00842B8F" w:rsidRPr="0084072F">
        <w:rPr>
          <w:rFonts w:ascii="Arial" w:hAnsi="Arial" w:cs="Arial"/>
          <w:b/>
          <w:sz w:val="22"/>
          <w:szCs w:val="22"/>
        </w:rPr>
        <w:t>.</w:t>
      </w:r>
      <w:r w:rsidRPr="0084072F">
        <w:rPr>
          <w:rFonts w:ascii="Arial" w:hAnsi="Arial" w:cs="Arial"/>
          <w:sz w:val="22"/>
          <w:szCs w:val="22"/>
        </w:rPr>
        <w:t xml:space="preserve"> En caso de toma de posesión para liquidar, el liquidador deberá </w:t>
      </w:r>
      <w:r w:rsidRPr="0084072F">
        <w:rPr>
          <w:rFonts w:ascii="Arial" w:hAnsi="Arial" w:cs="Arial"/>
          <w:color w:val="000000"/>
          <w:sz w:val="22"/>
          <w:szCs w:val="22"/>
        </w:rPr>
        <w:t>transmitir al Fondo el “Formato de Depósitos Individuales</w:t>
      </w:r>
      <w:r w:rsidRPr="0084072F">
        <w:rPr>
          <w:rFonts w:ascii="Arial" w:hAnsi="Arial" w:cs="Arial"/>
          <w:b/>
          <w:bCs/>
          <w:strike/>
          <w:color w:val="000000"/>
          <w:sz w:val="22"/>
          <w:szCs w:val="22"/>
          <w:u w:val="single"/>
        </w:rPr>
        <w:t xml:space="preserve"> -</w:t>
      </w:r>
      <w:r w:rsidRPr="0084072F">
        <w:rPr>
          <w:rFonts w:ascii="Arial" w:hAnsi="Arial" w:cs="Arial"/>
          <w:color w:val="000000"/>
          <w:sz w:val="22"/>
          <w:szCs w:val="22"/>
        </w:rPr>
        <w:t xml:space="preserve"> </w:t>
      </w:r>
      <w:r w:rsidRPr="0084072F">
        <w:rPr>
          <w:rFonts w:ascii="Arial" w:hAnsi="Arial" w:cs="Arial"/>
          <w:b/>
          <w:bCs/>
          <w:strike/>
          <w:color w:val="000000"/>
          <w:sz w:val="22"/>
          <w:szCs w:val="22"/>
          <w:u w:val="single"/>
        </w:rPr>
        <w:t>SEDPES</w:t>
      </w:r>
      <w:r w:rsidRPr="0084072F">
        <w:rPr>
          <w:rFonts w:ascii="Arial" w:hAnsi="Arial" w:cs="Arial"/>
          <w:color w:val="000000"/>
          <w:sz w:val="22"/>
          <w:szCs w:val="22"/>
        </w:rPr>
        <w:t xml:space="preserve">”, con corte al día en que es ordenada la toma de posesión para liquidar, a más tardar dentro de los cinco (5) días calendario siguientes a esa fecha, </w:t>
      </w:r>
      <w:r w:rsidRPr="0084072F">
        <w:rPr>
          <w:rFonts w:ascii="Arial" w:hAnsi="Arial" w:cs="Arial"/>
          <w:b/>
          <w:bCs/>
          <w:color w:val="000000"/>
          <w:sz w:val="22"/>
          <w:szCs w:val="22"/>
          <w:u w:val="single"/>
        </w:rPr>
        <w:t xml:space="preserve">en los términos y condiciones establecidos en la Circular Externa </w:t>
      </w:r>
      <w:r w:rsidR="00E70BEE" w:rsidRPr="0084072F">
        <w:rPr>
          <w:rFonts w:ascii="Arial" w:hAnsi="Arial" w:cs="Arial"/>
          <w:b/>
          <w:bCs/>
          <w:color w:val="000000"/>
          <w:sz w:val="22"/>
          <w:szCs w:val="22"/>
          <w:u w:val="single"/>
        </w:rPr>
        <w:t>d</w:t>
      </w:r>
      <w:r w:rsidRPr="0084072F">
        <w:rPr>
          <w:rFonts w:ascii="Arial" w:hAnsi="Arial" w:cs="Arial"/>
          <w:b/>
          <w:bCs/>
          <w:color w:val="000000"/>
          <w:sz w:val="22"/>
          <w:szCs w:val="22"/>
          <w:u w:val="single"/>
        </w:rPr>
        <w:t>el Fondo</w:t>
      </w:r>
      <w:r w:rsidRPr="0084072F">
        <w:rPr>
          <w:rFonts w:ascii="Arial" w:hAnsi="Arial" w:cs="Arial"/>
          <w:color w:val="000000"/>
          <w:sz w:val="22"/>
          <w:szCs w:val="22"/>
        </w:rPr>
        <w:t>.</w:t>
      </w:r>
      <w:r w:rsidRPr="005367E4">
        <w:rPr>
          <w:rFonts w:ascii="Arial" w:hAnsi="Arial" w:cs="Arial"/>
          <w:color w:val="000000"/>
          <w:sz w:val="22"/>
          <w:szCs w:val="22"/>
        </w:rPr>
        <w:t xml:space="preserve"> </w:t>
      </w:r>
    </w:p>
    <w:p w14:paraId="14406B8C" w14:textId="77777777" w:rsidR="005E4F2B" w:rsidRDefault="005E4F2B" w:rsidP="000A6F68">
      <w:pPr>
        <w:jc w:val="both"/>
        <w:rPr>
          <w:rFonts w:ascii="Arial" w:hAnsi="Arial" w:cs="Arial"/>
          <w:color w:val="000000"/>
          <w:sz w:val="22"/>
          <w:szCs w:val="22"/>
        </w:rPr>
      </w:pPr>
    </w:p>
    <w:p w14:paraId="5836254B" w14:textId="1A3390EB" w:rsidR="00C81ECF" w:rsidRPr="0084072F" w:rsidRDefault="00473F8D" w:rsidP="00C81ECF">
      <w:pPr>
        <w:jc w:val="both"/>
        <w:rPr>
          <w:rFonts w:ascii="Arial" w:hAnsi="Arial" w:cs="Arial"/>
          <w:b/>
          <w:bCs/>
          <w:color w:val="000000"/>
          <w:sz w:val="22"/>
          <w:szCs w:val="22"/>
          <w:u w:val="single"/>
        </w:rPr>
      </w:pPr>
      <w:r w:rsidRPr="0084072F">
        <w:rPr>
          <w:rFonts w:ascii="Arial" w:hAnsi="Arial" w:cs="Arial"/>
          <w:b/>
          <w:bCs/>
          <w:color w:val="000000"/>
          <w:sz w:val="22"/>
          <w:szCs w:val="22"/>
          <w:u w:val="single"/>
        </w:rPr>
        <w:t xml:space="preserve">Las SEDPES inscritas deberán disponer, en todo momento, de los mecanismos necesarios para garantizar la disponibilidad, integridad y calidad de la información requerida para la generación y transmisión del </w:t>
      </w:r>
      <w:r w:rsidR="009A0D35" w:rsidRPr="0084072F">
        <w:rPr>
          <w:rFonts w:ascii="Arial" w:hAnsi="Arial" w:cs="Arial"/>
          <w:b/>
          <w:bCs/>
          <w:color w:val="000000"/>
          <w:sz w:val="22"/>
          <w:szCs w:val="22"/>
          <w:u w:val="single"/>
        </w:rPr>
        <w:t>Formato de Depósitos Individuales</w:t>
      </w:r>
      <w:r w:rsidRPr="0084072F">
        <w:rPr>
          <w:rFonts w:ascii="Arial" w:hAnsi="Arial" w:cs="Arial"/>
          <w:b/>
          <w:bCs/>
          <w:color w:val="000000"/>
          <w:sz w:val="22"/>
          <w:szCs w:val="22"/>
          <w:u w:val="single"/>
        </w:rPr>
        <w:t xml:space="preserve">, de manera que </w:t>
      </w:r>
      <w:r w:rsidR="003F2A12">
        <w:rPr>
          <w:rFonts w:ascii="Arial" w:hAnsi="Arial" w:cs="Arial"/>
          <w:b/>
          <w:bCs/>
          <w:color w:val="000000"/>
          <w:sz w:val="22"/>
          <w:szCs w:val="22"/>
          <w:u w:val="single"/>
        </w:rPr>
        <w:t>é</w:t>
      </w:r>
      <w:r w:rsidRPr="0084072F">
        <w:rPr>
          <w:rFonts w:ascii="Arial" w:hAnsi="Arial" w:cs="Arial"/>
          <w:b/>
          <w:bCs/>
          <w:color w:val="000000"/>
          <w:sz w:val="22"/>
          <w:szCs w:val="22"/>
          <w:u w:val="single"/>
        </w:rPr>
        <w:t>sta pueda ser obtenida y entregada de forma ágil</w:t>
      </w:r>
      <w:r w:rsidR="00C81ECF" w:rsidRPr="00C81ECF">
        <w:rPr>
          <w:rFonts w:ascii="Arial" w:hAnsi="Arial" w:cs="Arial"/>
          <w:b/>
          <w:bCs/>
          <w:color w:val="000000"/>
          <w:sz w:val="22"/>
          <w:szCs w:val="22"/>
          <w:u w:val="single"/>
        </w:rPr>
        <w:t>, completa</w:t>
      </w:r>
      <w:r w:rsidRPr="0084072F">
        <w:rPr>
          <w:rFonts w:ascii="Arial" w:hAnsi="Arial" w:cs="Arial"/>
          <w:b/>
          <w:bCs/>
          <w:color w:val="000000"/>
          <w:sz w:val="22"/>
          <w:szCs w:val="22"/>
          <w:u w:val="single"/>
        </w:rPr>
        <w:t xml:space="preserve"> y </w:t>
      </w:r>
      <w:r w:rsidR="00C81ECF" w:rsidRPr="00C81ECF">
        <w:rPr>
          <w:rFonts w:ascii="Arial" w:hAnsi="Arial" w:cs="Arial"/>
          <w:b/>
          <w:bCs/>
          <w:color w:val="000000"/>
          <w:sz w:val="22"/>
          <w:szCs w:val="22"/>
          <w:u w:val="single"/>
        </w:rPr>
        <w:t>oportuna</w:t>
      </w:r>
      <w:r w:rsidR="00C81ECF" w:rsidRPr="0084072F">
        <w:rPr>
          <w:rFonts w:ascii="Arial" w:hAnsi="Arial" w:cs="Arial"/>
          <w:b/>
          <w:bCs/>
          <w:color w:val="000000"/>
          <w:sz w:val="22"/>
          <w:szCs w:val="22"/>
          <w:u w:val="single"/>
        </w:rPr>
        <w:t xml:space="preserve"> cuando sea requerida en el marco de un proceso de toma de posesión para liquidar, independientemente de los periodos ordinarios de transmisión.</w:t>
      </w:r>
    </w:p>
    <w:p w14:paraId="4826A63B" w14:textId="77777777" w:rsidR="00C81ECF" w:rsidRPr="00473F8D" w:rsidRDefault="00C81ECF" w:rsidP="00473F8D">
      <w:pPr>
        <w:jc w:val="both"/>
        <w:rPr>
          <w:rFonts w:ascii="Arial" w:hAnsi="Arial" w:cs="Arial"/>
          <w:color w:val="000000"/>
          <w:sz w:val="22"/>
          <w:szCs w:val="22"/>
          <w:lang w:val="es-CO"/>
        </w:rPr>
      </w:pPr>
    </w:p>
    <w:p w14:paraId="3F1C2EF0" w14:textId="77777777" w:rsidR="00473F8D" w:rsidRPr="0084072F" w:rsidRDefault="00473F8D" w:rsidP="000A6F68">
      <w:pPr>
        <w:jc w:val="both"/>
        <w:rPr>
          <w:rFonts w:ascii="Arial" w:hAnsi="Arial" w:cs="Arial"/>
          <w:color w:val="000000"/>
          <w:sz w:val="22"/>
          <w:szCs w:val="22"/>
          <w:lang w:val="es-CO"/>
        </w:rPr>
      </w:pPr>
    </w:p>
    <w:p w14:paraId="33E3E08D" w14:textId="79236ECE" w:rsidR="005E4F2B" w:rsidRPr="00B52FBD" w:rsidRDefault="00B52FBD" w:rsidP="000A6F68">
      <w:pPr>
        <w:jc w:val="both"/>
        <w:rPr>
          <w:rFonts w:ascii="Arial" w:hAnsi="Arial" w:cs="Arial"/>
          <w:b/>
          <w:bCs/>
          <w:color w:val="000000"/>
          <w:sz w:val="22"/>
          <w:szCs w:val="22"/>
          <w:u w:val="single"/>
        </w:rPr>
      </w:pPr>
      <w:r w:rsidRPr="00E70BEE">
        <w:rPr>
          <w:rFonts w:ascii="Arial" w:hAnsi="Arial" w:cs="Arial"/>
          <w:b/>
          <w:bCs/>
          <w:strike/>
          <w:color w:val="000000"/>
          <w:sz w:val="22"/>
          <w:szCs w:val="22"/>
          <w:u w:val="single"/>
        </w:rPr>
        <w:t>Para la entrega de la información a la que se refiere el presente artículo, no se requerirá la firma digital del archivo por parte del liquidador de la entidad</w:t>
      </w:r>
      <w:r w:rsidRPr="00E70BEE">
        <w:rPr>
          <w:rFonts w:ascii="Arial" w:hAnsi="Arial" w:cs="Arial"/>
          <w:b/>
          <w:bCs/>
          <w:color w:val="000000"/>
          <w:sz w:val="22"/>
          <w:szCs w:val="22"/>
          <w:u w:val="single"/>
        </w:rPr>
        <w:t>.</w:t>
      </w:r>
    </w:p>
    <w:p w14:paraId="471A2766" w14:textId="77777777" w:rsidR="000A6F68" w:rsidRPr="005367E4" w:rsidRDefault="000A6F68" w:rsidP="000A6F68">
      <w:pPr>
        <w:jc w:val="both"/>
        <w:rPr>
          <w:rFonts w:ascii="Arial" w:hAnsi="Arial" w:cs="Arial"/>
          <w:color w:val="000000"/>
          <w:sz w:val="22"/>
          <w:szCs w:val="22"/>
        </w:rPr>
      </w:pPr>
    </w:p>
    <w:p w14:paraId="67A58EE7" w14:textId="77777777" w:rsidR="00842B8F" w:rsidRPr="005367E4" w:rsidRDefault="00842B8F" w:rsidP="000A6F68">
      <w:pPr>
        <w:ind w:left="708" w:hanging="708"/>
        <w:jc w:val="both"/>
        <w:rPr>
          <w:rFonts w:ascii="Arial" w:hAnsi="Arial" w:cs="Arial"/>
          <w:color w:val="000000"/>
          <w:sz w:val="22"/>
          <w:szCs w:val="22"/>
        </w:rPr>
      </w:pPr>
    </w:p>
    <w:p w14:paraId="066E64E0" w14:textId="646B4874" w:rsidR="000A6F68" w:rsidRPr="005367E4" w:rsidRDefault="000A6F68" w:rsidP="000A6F68">
      <w:pPr>
        <w:autoSpaceDE w:val="0"/>
        <w:autoSpaceDN w:val="0"/>
        <w:adjustRightInd w:val="0"/>
        <w:jc w:val="center"/>
        <w:outlineLvl w:val="0"/>
        <w:rPr>
          <w:rFonts w:ascii="Arial" w:hAnsi="Arial" w:cs="Arial"/>
          <w:b/>
          <w:bCs/>
          <w:color w:val="000000"/>
          <w:sz w:val="22"/>
          <w:szCs w:val="22"/>
        </w:rPr>
      </w:pPr>
      <w:r w:rsidRPr="005367E4">
        <w:rPr>
          <w:rFonts w:ascii="Arial" w:hAnsi="Arial" w:cs="Arial"/>
          <w:b/>
          <w:bCs/>
          <w:color w:val="000000"/>
          <w:sz w:val="22"/>
          <w:szCs w:val="22"/>
        </w:rPr>
        <w:t>CAPÍTULO V – DISPOSICIONES VARIAS</w:t>
      </w:r>
    </w:p>
    <w:p w14:paraId="542098ED" w14:textId="77777777" w:rsidR="000A6F68" w:rsidRDefault="000A6F68" w:rsidP="000A6F68">
      <w:pPr>
        <w:autoSpaceDE w:val="0"/>
        <w:autoSpaceDN w:val="0"/>
        <w:adjustRightInd w:val="0"/>
        <w:jc w:val="both"/>
        <w:rPr>
          <w:rFonts w:ascii="Arial" w:hAnsi="Arial" w:cs="Arial"/>
          <w:b/>
          <w:bCs/>
          <w:color w:val="000000"/>
          <w:sz w:val="22"/>
          <w:szCs w:val="22"/>
        </w:rPr>
      </w:pPr>
    </w:p>
    <w:p w14:paraId="088FAA66" w14:textId="77777777" w:rsidR="0084072F" w:rsidRPr="005367E4" w:rsidRDefault="0084072F" w:rsidP="000A6F68">
      <w:pPr>
        <w:autoSpaceDE w:val="0"/>
        <w:autoSpaceDN w:val="0"/>
        <w:adjustRightInd w:val="0"/>
        <w:jc w:val="both"/>
        <w:rPr>
          <w:rFonts w:ascii="Arial" w:hAnsi="Arial" w:cs="Arial"/>
          <w:b/>
          <w:bCs/>
          <w:color w:val="000000"/>
          <w:sz w:val="22"/>
          <w:szCs w:val="22"/>
        </w:rPr>
      </w:pPr>
    </w:p>
    <w:p w14:paraId="019794BE" w14:textId="5FD90AB0" w:rsidR="000A6F68" w:rsidRPr="005367E4" w:rsidRDefault="000A6F68" w:rsidP="000A6F68">
      <w:pPr>
        <w:autoSpaceDE w:val="0"/>
        <w:autoSpaceDN w:val="0"/>
        <w:adjustRightInd w:val="0"/>
        <w:jc w:val="both"/>
        <w:rPr>
          <w:rFonts w:ascii="Arial" w:hAnsi="Arial" w:cs="Arial"/>
          <w:bCs/>
          <w:color w:val="000000"/>
          <w:sz w:val="22"/>
          <w:szCs w:val="22"/>
        </w:rPr>
      </w:pPr>
      <w:r w:rsidRPr="005367E4">
        <w:rPr>
          <w:rFonts w:ascii="Arial" w:hAnsi="Arial" w:cs="Arial"/>
          <w:b/>
          <w:bCs/>
          <w:color w:val="000000"/>
          <w:sz w:val="22"/>
          <w:szCs w:val="22"/>
        </w:rPr>
        <w:t xml:space="preserve">ARTÍCULO </w:t>
      </w:r>
      <w:r w:rsidR="005A54CD" w:rsidRPr="00EC2881">
        <w:rPr>
          <w:rFonts w:ascii="Arial" w:hAnsi="Arial" w:cs="Arial"/>
          <w:b/>
          <w:bCs/>
          <w:color w:val="000000"/>
          <w:sz w:val="22"/>
          <w:szCs w:val="22"/>
        </w:rPr>
        <w:t>DECIMO</w:t>
      </w:r>
      <w:r w:rsidR="005A54CD">
        <w:rPr>
          <w:rFonts w:ascii="Arial" w:hAnsi="Arial" w:cs="Arial"/>
          <w:b/>
          <w:bCs/>
          <w:color w:val="000000"/>
          <w:sz w:val="22"/>
          <w:szCs w:val="22"/>
        </w:rPr>
        <w:t>CTAV</w:t>
      </w:r>
      <w:r w:rsidR="005A54CD" w:rsidRPr="00EC2881">
        <w:rPr>
          <w:rFonts w:ascii="Arial" w:hAnsi="Arial" w:cs="Arial"/>
          <w:b/>
          <w:bCs/>
          <w:color w:val="000000"/>
          <w:sz w:val="22"/>
          <w:szCs w:val="22"/>
        </w:rPr>
        <w:t>O</w:t>
      </w:r>
      <w:r>
        <w:rPr>
          <w:rFonts w:ascii="Arial" w:hAnsi="Arial" w:cs="Arial"/>
          <w:b/>
          <w:bCs/>
          <w:color w:val="000000"/>
          <w:sz w:val="22"/>
          <w:szCs w:val="22"/>
        </w:rPr>
        <w:t xml:space="preserve">. </w:t>
      </w:r>
      <w:r w:rsidRPr="005367E4">
        <w:rPr>
          <w:rFonts w:ascii="Arial" w:hAnsi="Arial" w:cs="Arial"/>
          <w:b/>
          <w:bCs/>
          <w:color w:val="000000"/>
          <w:sz w:val="22"/>
          <w:szCs w:val="22"/>
        </w:rPr>
        <w:t xml:space="preserve">SEGUIMIENTO. </w:t>
      </w:r>
      <w:r w:rsidRPr="005367E4">
        <w:rPr>
          <w:rFonts w:ascii="Arial" w:hAnsi="Arial" w:cs="Arial"/>
          <w:bCs/>
          <w:color w:val="000000"/>
          <w:sz w:val="22"/>
          <w:szCs w:val="22"/>
        </w:rPr>
        <w:t xml:space="preserve">El Fondo de Garantías de Instituciones Financieras </w:t>
      </w:r>
      <w:r w:rsidRPr="005367E4">
        <w:rPr>
          <w:rFonts w:ascii="Arial" w:hAnsi="Arial" w:cs="Arial"/>
          <w:color w:val="000000"/>
          <w:sz w:val="22"/>
          <w:szCs w:val="22"/>
        </w:rPr>
        <w:t xml:space="preserve">organizará un sistema de obtención y análisis continuo de información </w:t>
      </w:r>
      <w:r w:rsidRPr="005367E4">
        <w:rPr>
          <w:rFonts w:ascii="Arial" w:hAnsi="Arial" w:cs="Arial"/>
          <w:bCs/>
          <w:color w:val="000000"/>
          <w:sz w:val="22"/>
          <w:szCs w:val="22"/>
        </w:rPr>
        <w:t xml:space="preserve">que le permita evaluar periódicamente el estado y modificación de los riesgos asegurados. </w:t>
      </w:r>
    </w:p>
    <w:p w14:paraId="2F31EBEE" w14:textId="77777777" w:rsidR="000A6F68" w:rsidRPr="005367E4" w:rsidRDefault="000A6F68" w:rsidP="000A6F68">
      <w:pPr>
        <w:autoSpaceDE w:val="0"/>
        <w:autoSpaceDN w:val="0"/>
        <w:adjustRightInd w:val="0"/>
        <w:jc w:val="both"/>
        <w:rPr>
          <w:rFonts w:ascii="Arial" w:hAnsi="Arial" w:cs="Arial"/>
          <w:b/>
          <w:bCs/>
          <w:color w:val="000000"/>
          <w:sz w:val="22"/>
          <w:szCs w:val="22"/>
        </w:rPr>
      </w:pPr>
    </w:p>
    <w:p w14:paraId="2934D810" w14:textId="18C8AF55" w:rsidR="000A6F68" w:rsidRPr="005367E4" w:rsidRDefault="000A6F68" w:rsidP="000A6F68">
      <w:pPr>
        <w:autoSpaceDE w:val="0"/>
        <w:autoSpaceDN w:val="0"/>
        <w:adjustRightInd w:val="0"/>
        <w:jc w:val="both"/>
        <w:rPr>
          <w:rFonts w:ascii="Arial" w:hAnsi="Arial" w:cs="Arial"/>
          <w:b/>
          <w:bCs/>
          <w:strike/>
          <w:color w:val="000000"/>
          <w:sz w:val="22"/>
          <w:szCs w:val="22"/>
        </w:rPr>
      </w:pPr>
      <w:r w:rsidRPr="005367E4">
        <w:rPr>
          <w:rFonts w:ascii="Arial" w:hAnsi="Arial" w:cs="Arial"/>
          <w:b/>
          <w:bCs/>
          <w:color w:val="000000"/>
          <w:sz w:val="22"/>
          <w:szCs w:val="22"/>
        </w:rPr>
        <w:t xml:space="preserve">ARTÍCULO </w:t>
      </w:r>
      <w:r w:rsidR="007C794B">
        <w:rPr>
          <w:rFonts w:ascii="Arial" w:hAnsi="Arial" w:cs="Arial"/>
          <w:b/>
          <w:bCs/>
          <w:color w:val="000000"/>
          <w:sz w:val="22"/>
          <w:szCs w:val="22"/>
        </w:rPr>
        <w:t>DECIMONOVENO</w:t>
      </w:r>
      <w:r w:rsidRPr="005367E4">
        <w:rPr>
          <w:rFonts w:ascii="Arial" w:hAnsi="Arial" w:cs="Arial"/>
          <w:b/>
          <w:bCs/>
          <w:color w:val="000000"/>
          <w:sz w:val="22"/>
          <w:szCs w:val="22"/>
        </w:rPr>
        <w:t xml:space="preserve">. VIGENCIA. </w:t>
      </w:r>
      <w:r w:rsidRPr="002171D8">
        <w:rPr>
          <w:rFonts w:ascii="Arial" w:hAnsi="Arial" w:cs="Arial"/>
          <w:color w:val="000000"/>
          <w:sz w:val="22"/>
          <w:szCs w:val="22"/>
        </w:rPr>
        <w:t>La presente Resolución rige a partir de su publicación y deroga la Resolución 002 de 202</w:t>
      </w:r>
      <w:r>
        <w:rPr>
          <w:rFonts w:ascii="Arial" w:hAnsi="Arial" w:cs="Arial"/>
          <w:color w:val="000000"/>
          <w:sz w:val="22"/>
          <w:szCs w:val="22"/>
        </w:rPr>
        <w:t>6</w:t>
      </w:r>
      <w:r w:rsidRPr="002171D8">
        <w:rPr>
          <w:rFonts w:ascii="Arial" w:hAnsi="Arial" w:cs="Arial"/>
          <w:color w:val="000000"/>
          <w:sz w:val="22"/>
          <w:szCs w:val="22"/>
        </w:rPr>
        <w:t>.</w:t>
      </w:r>
      <w:r w:rsidRPr="005367E4">
        <w:rPr>
          <w:rFonts w:ascii="Arial" w:hAnsi="Arial" w:cs="Arial"/>
          <w:color w:val="000000"/>
          <w:sz w:val="22"/>
          <w:szCs w:val="22"/>
        </w:rPr>
        <w:t xml:space="preserve"> </w:t>
      </w:r>
    </w:p>
    <w:p w14:paraId="6B51B18B" w14:textId="77777777" w:rsidR="000A6F68" w:rsidRPr="005367E4" w:rsidRDefault="000A6F68" w:rsidP="000A6F68">
      <w:pPr>
        <w:autoSpaceDE w:val="0"/>
        <w:autoSpaceDN w:val="0"/>
        <w:adjustRightInd w:val="0"/>
        <w:jc w:val="both"/>
        <w:rPr>
          <w:rFonts w:ascii="Arial" w:hAnsi="Arial" w:cs="Arial"/>
          <w:color w:val="000000"/>
          <w:sz w:val="22"/>
          <w:szCs w:val="22"/>
        </w:rPr>
      </w:pPr>
    </w:p>
    <w:p w14:paraId="38150DE1" w14:textId="77777777" w:rsidR="000A6F68" w:rsidRDefault="000A6F68" w:rsidP="000A6F68">
      <w:pPr>
        <w:autoSpaceDE w:val="0"/>
        <w:autoSpaceDN w:val="0"/>
        <w:adjustRightInd w:val="0"/>
        <w:jc w:val="both"/>
        <w:rPr>
          <w:rFonts w:ascii="Arial" w:hAnsi="Arial" w:cs="Arial"/>
          <w:color w:val="000000"/>
          <w:sz w:val="22"/>
          <w:szCs w:val="22"/>
        </w:rPr>
      </w:pPr>
    </w:p>
    <w:p w14:paraId="38E5D164" w14:textId="77777777" w:rsidR="0084072F" w:rsidRPr="005367E4" w:rsidRDefault="0084072F" w:rsidP="000A6F68">
      <w:pPr>
        <w:autoSpaceDE w:val="0"/>
        <w:autoSpaceDN w:val="0"/>
        <w:adjustRightInd w:val="0"/>
        <w:jc w:val="both"/>
        <w:rPr>
          <w:rFonts w:ascii="Arial" w:hAnsi="Arial" w:cs="Arial"/>
          <w:color w:val="000000"/>
          <w:sz w:val="22"/>
          <w:szCs w:val="22"/>
        </w:rPr>
      </w:pPr>
    </w:p>
    <w:p w14:paraId="1AC25405" w14:textId="77777777" w:rsidR="000A6F68" w:rsidRPr="005367E4" w:rsidRDefault="000A6F68" w:rsidP="000A6F68">
      <w:pPr>
        <w:autoSpaceDE w:val="0"/>
        <w:autoSpaceDN w:val="0"/>
        <w:adjustRightInd w:val="0"/>
        <w:jc w:val="both"/>
        <w:rPr>
          <w:rFonts w:ascii="Arial" w:hAnsi="Arial" w:cs="Arial"/>
          <w:sz w:val="22"/>
          <w:szCs w:val="22"/>
        </w:rPr>
      </w:pPr>
      <w:bookmarkStart w:id="2" w:name="_Hlk503856847"/>
      <w:r w:rsidRPr="005367E4">
        <w:rPr>
          <w:rFonts w:ascii="Arial" w:hAnsi="Arial" w:cs="Arial"/>
          <w:color w:val="000000"/>
          <w:sz w:val="22"/>
          <w:szCs w:val="22"/>
        </w:rPr>
        <w:t xml:space="preserve">Dada en Bogotá, D.C., el </w:t>
      </w:r>
      <w:r>
        <w:rPr>
          <w:rFonts w:ascii="Arial" w:hAnsi="Arial" w:cs="Arial"/>
          <w:color w:val="000000"/>
          <w:sz w:val="22"/>
          <w:szCs w:val="22"/>
        </w:rPr>
        <w:t>XX</w:t>
      </w:r>
      <w:r w:rsidRPr="005367E4">
        <w:rPr>
          <w:rFonts w:ascii="Arial" w:hAnsi="Arial" w:cs="Arial"/>
          <w:sz w:val="22"/>
          <w:szCs w:val="22"/>
        </w:rPr>
        <w:t xml:space="preserve"> de </w:t>
      </w:r>
      <w:r>
        <w:rPr>
          <w:rFonts w:ascii="Arial" w:hAnsi="Arial" w:cs="Arial"/>
          <w:sz w:val="22"/>
          <w:szCs w:val="22"/>
        </w:rPr>
        <w:t>xxxxxxx</w:t>
      </w:r>
      <w:r w:rsidRPr="005367E4">
        <w:rPr>
          <w:rFonts w:ascii="Arial" w:hAnsi="Arial" w:cs="Arial"/>
          <w:sz w:val="22"/>
          <w:szCs w:val="22"/>
        </w:rPr>
        <w:t xml:space="preserve"> de 2026.</w:t>
      </w:r>
    </w:p>
    <w:bookmarkEnd w:id="2"/>
    <w:p w14:paraId="2C1E1125" w14:textId="77777777" w:rsidR="000A6F68" w:rsidRPr="005367E4" w:rsidRDefault="000A6F68" w:rsidP="000A6F68">
      <w:pPr>
        <w:autoSpaceDE w:val="0"/>
        <w:autoSpaceDN w:val="0"/>
        <w:adjustRightInd w:val="0"/>
        <w:jc w:val="both"/>
        <w:rPr>
          <w:rFonts w:ascii="Arial" w:hAnsi="Arial" w:cs="Arial"/>
          <w:b/>
          <w:bCs/>
          <w:color w:val="000000"/>
          <w:sz w:val="22"/>
          <w:szCs w:val="22"/>
        </w:rPr>
      </w:pPr>
    </w:p>
    <w:p w14:paraId="5DC04E23" w14:textId="77777777" w:rsidR="0084072F" w:rsidRPr="005367E4" w:rsidRDefault="0084072F" w:rsidP="000A6F68">
      <w:pPr>
        <w:autoSpaceDE w:val="0"/>
        <w:autoSpaceDN w:val="0"/>
        <w:adjustRightInd w:val="0"/>
        <w:jc w:val="both"/>
        <w:rPr>
          <w:rFonts w:ascii="Arial" w:hAnsi="Arial" w:cs="Arial"/>
          <w:b/>
          <w:bCs/>
          <w:color w:val="000000"/>
          <w:sz w:val="22"/>
          <w:szCs w:val="22"/>
        </w:rPr>
      </w:pPr>
    </w:p>
    <w:p w14:paraId="649EBE04" w14:textId="77777777" w:rsidR="000A6F68" w:rsidRPr="005367E4" w:rsidRDefault="000A6F68" w:rsidP="000A6F68">
      <w:pPr>
        <w:autoSpaceDE w:val="0"/>
        <w:autoSpaceDN w:val="0"/>
        <w:adjustRightInd w:val="0"/>
        <w:jc w:val="both"/>
        <w:rPr>
          <w:rFonts w:ascii="Arial" w:hAnsi="Arial" w:cs="Arial"/>
          <w:b/>
          <w:bCs/>
          <w:color w:val="000000"/>
          <w:sz w:val="22"/>
          <w:szCs w:val="22"/>
        </w:rPr>
      </w:pPr>
    </w:p>
    <w:p w14:paraId="1C571E83" w14:textId="130FF309" w:rsidR="00797106" w:rsidRDefault="000A6F68" w:rsidP="00BF2B8E">
      <w:pPr>
        <w:jc w:val="center"/>
        <w:outlineLvl w:val="0"/>
        <w:rPr>
          <w:rFonts w:ascii="Arial" w:hAnsi="Arial" w:cs="Arial"/>
          <w:color w:val="000000"/>
          <w:sz w:val="22"/>
          <w:szCs w:val="22"/>
        </w:rPr>
      </w:pPr>
      <w:r w:rsidRPr="005367E4">
        <w:rPr>
          <w:rFonts w:ascii="Arial" w:hAnsi="Arial" w:cs="Arial"/>
          <w:b/>
          <w:color w:val="000000"/>
          <w:sz w:val="22"/>
          <w:szCs w:val="22"/>
        </w:rPr>
        <w:t>PUBLÍQUESE Y CÚMPLASE</w:t>
      </w:r>
    </w:p>
    <w:p w14:paraId="31883AAC" w14:textId="77777777" w:rsidR="00294F92" w:rsidRDefault="00294F92">
      <w:pPr>
        <w:rPr>
          <w:rFonts w:ascii="Arial" w:hAnsi="Arial" w:cs="Arial"/>
          <w:color w:val="000000"/>
          <w:sz w:val="22"/>
          <w:szCs w:val="22"/>
        </w:rPr>
      </w:pPr>
    </w:p>
    <w:p w14:paraId="6EFF7EF6" w14:textId="77777777" w:rsidR="00294F92" w:rsidRDefault="00294F92"/>
    <w:sectPr w:rsidR="00294F92">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19DEC" w14:textId="77777777" w:rsidR="0028356F" w:rsidRDefault="0028356F" w:rsidP="00290C7A">
      <w:r>
        <w:separator/>
      </w:r>
    </w:p>
  </w:endnote>
  <w:endnote w:type="continuationSeparator" w:id="0">
    <w:p w14:paraId="17A2E636" w14:textId="77777777" w:rsidR="0028356F" w:rsidRDefault="0028356F" w:rsidP="00290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D08B" w14:textId="1F675C10" w:rsidR="00597FA0" w:rsidRPr="005B6B78" w:rsidRDefault="00597FA0" w:rsidP="00597FA0">
    <w:pPr>
      <w:rPr>
        <w:rFonts w:ascii="Verdana" w:hAnsi="Verdana" w:cs="Arial"/>
        <w:color w:val="ADADAD" w:themeColor="background2" w:themeShade="BF"/>
        <w:sz w:val="14"/>
        <w:szCs w:val="14"/>
        <w:lang w:eastAsia="es-CO"/>
      </w:rPr>
    </w:pPr>
    <w:r w:rsidRPr="005B6B78">
      <w:rPr>
        <w:rFonts w:ascii="Verdana" w:hAnsi="Verdana" w:cs="Arial"/>
        <w:color w:val="ADADAD" w:themeColor="background2" w:themeShade="BF"/>
        <w:sz w:val="14"/>
        <w:szCs w:val="14"/>
        <w:lang w:eastAsia="es-CO"/>
      </w:rPr>
      <w:t>Dirección: Carrera 7 # 35 – 40, Bogotá D.C. Colombia</w:t>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t xml:space="preserve">Página </w:t>
    </w:r>
    <w:r w:rsidRPr="005B6B78">
      <w:rPr>
        <w:rFonts w:ascii="Verdana" w:hAnsi="Verdana" w:cs="Arial"/>
        <w:color w:val="ADADAD" w:themeColor="background2" w:themeShade="BF"/>
        <w:sz w:val="14"/>
        <w:szCs w:val="14"/>
        <w:lang w:eastAsia="es-CO"/>
      </w:rPr>
      <w:fldChar w:fldCharType="begin"/>
    </w:r>
    <w:r w:rsidRPr="005B6B78">
      <w:rPr>
        <w:rFonts w:ascii="Verdana" w:hAnsi="Verdana" w:cs="Arial"/>
        <w:color w:val="ADADAD" w:themeColor="background2" w:themeShade="BF"/>
        <w:sz w:val="14"/>
        <w:szCs w:val="14"/>
        <w:lang w:eastAsia="es-CO"/>
      </w:rPr>
      <w:instrText xml:space="preserve"> PAGE </w:instrText>
    </w:r>
    <w:r w:rsidRPr="005B6B78">
      <w:rPr>
        <w:rFonts w:ascii="Verdana" w:hAnsi="Verdana" w:cs="Arial"/>
        <w:color w:val="ADADAD" w:themeColor="background2" w:themeShade="BF"/>
        <w:sz w:val="14"/>
        <w:szCs w:val="14"/>
        <w:lang w:eastAsia="es-CO"/>
      </w:rPr>
      <w:fldChar w:fldCharType="separate"/>
    </w:r>
    <w:r w:rsidRPr="005B6B78">
      <w:rPr>
        <w:rFonts w:ascii="Verdana" w:hAnsi="Verdana" w:cs="Arial"/>
        <w:color w:val="ADADAD" w:themeColor="background2" w:themeShade="BF"/>
        <w:sz w:val="14"/>
        <w:szCs w:val="14"/>
        <w:lang w:eastAsia="es-CO"/>
      </w:rPr>
      <w:t>1</w:t>
    </w:r>
    <w:r w:rsidRPr="005B6B78">
      <w:rPr>
        <w:rFonts w:ascii="Verdana" w:hAnsi="Verdana" w:cs="Arial"/>
        <w:color w:val="ADADAD" w:themeColor="background2" w:themeShade="BF"/>
        <w:sz w:val="14"/>
        <w:szCs w:val="14"/>
        <w:lang w:eastAsia="es-CO"/>
      </w:rPr>
      <w:fldChar w:fldCharType="end"/>
    </w:r>
    <w:r w:rsidRPr="005B6B78">
      <w:rPr>
        <w:rFonts w:ascii="Verdana" w:hAnsi="Verdana" w:cs="Arial"/>
        <w:color w:val="ADADAD" w:themeColor="background2" w:themeShade="BF"/>
        <w:sz w:val="14"/>
        <w:szCs w:val="14"/>
        <w:lang w:eastAsia="es-CO"/>
      </w:rPr>
      <w:t>/</w:t>
    </w:r>
    <w:r w:rsidRPr="005B6B78">
      <w:rPr>
        <w:rFonts w:ascii="Verdana" w:hAnsi="Verdana" w:cs="Arial"/>
        <w:color w:val="ADADAD" w:themeColor="background2" w:themeShade="BF"/>
        <w:sz w:val="14"/>
        <w:szCs w:val="14"/>
        <w:lang w:eastAsia="es-CO"/>
      </w:rPr>
      <w:fldChar w:fldCharType="begin"/>
    </w:r>
    <w:r w:rsidRPr="005B6B78">
      <w:rPr>
        <w:rFonts w:ascii="Verdana" w:hAnsi="Verdana" w:cs="Arial"/>
        <w:color w:val="ADADAD" w:themeColor="background2" w:themeShade="BF"/>
        <w:sz w:val="14"/>
        <w:szCs w:val="14"/>
        <w:lang w:eastAsia="es-CO"/>
      </w:rPr>
      <w:instrText xml:space="preserve"> NUMPAGES </w:instrText>
    </w:r>
    <w:r w:rsidRPr="005B6B78">
      <w:rPr>
        <w:rFonts w:ascii="Verdana" w:hAnsi="Verdana" w:cs="Arial"/>
        <w:color w:val="ADADAD" w:themeColor="background2" w:themeShade="BF"/>
        <w:sz w:val="14"/>
        <w:szCs w:val="14"/>
        <w:lang w:eastAsia="es-CO"/>
      </w:rPr>
      <w:fldChar w:fldCharType="separate"/>
    </w:r>
    <w:r w:rsidRPr="005B6B78">
      <w:rPr>
        <w:rFonts w:ascii="Verdana" w:hAnsi="Verdana" w:cs="Arial"/>
        <w:color w:val="ADADAD" w:themeColor="background2" w:themeShade="BF"/>
        <w:sz w:val="14"/>
        <w:szCs w:val="14"/>
        <w:lang w:eastAsia="es-CO"/>
      </w:rPr>
      <w:t>2</w:t>
    </w:r>
    <w:r w:rsidRPr="005B6B78">
      <w:rPr>
        <w:rFonts w:ascii="Verdana" w:hAnsi="Verdana" w:cs="Arial"/>
        <w:color w:val="ADADAD" w:themeColor="background2" w:themeShade="BF"/>
        <w:sz w:val="14"/>
        <w:szCs w:val="14"/>
        <w:lang w:eastAsia="es-CO"/>
      </w:rPr>
      <w:fldChar w:fldCharType="end"/>
    </w:r>
  </w:p>
  <w:p w14:paraId="68FE5B1B" w14:textId="65A208C7" w:rsidR="00597FA0" w:rsidRPr="005B6B78" w:rsidRDefault="00597FA0" w:rsidP="00597FA0">
    <w:pPr>
      <w:rPr>
        <w:rFonts w:ascii="Verdana" w:hAnsi="Verdana" w:cs="Arial"/>
        <w:color w:val="ADADAD" w:themeColor="background2" w:themeShade="BF"/>
        <w:sz w:val="14"/>
        <w:szCs w:val="14"/>
        <w:lang w:eastAsia="es-CO"/>
      </w:rPr>
    </w:pPr>
    <w:r w:rsidRPr="005B6B78">
      <w:rPr>
        <w:rFonts w:ascii="Verdana" w:hAnsi="Verdana" w:cs="Arial"/>
        <w:color w:val="ADADAD" w:themeColor="background2" w:themeShade="BF"/>
        <w:sz w:val="14"/>
        <w:szCs w:val="14"/>
        <w:lang w:eastAsia="es-CO"/>
      </w:rPr>
      <w:t>Conmutador: +57 (601) 4321370</w:t>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t>Versión: 10.4</w:t>
    </w:r>
  </w:p>
  <w:p w14:paraId="00FA0955" w14:textId="7739C7F4" w:rsidR="00597FA0" w:rsidRPr="005B6B78" w:rsidRDefault="00597FA0" w:rsidP="00597FA0">
    <w:pPr>
      <w:rPr>
        <w:rFonts w:ascii="Verdana" w:hAnsi="Verdana" w:cs="Arial"/>
        <w:color w:val="ADADAD" w:themeColor="background2" w:themeShade="BF"/>
        <w:sz w:val="14"/>
        <w:szCs w:val="14"/>
        <w:lang w:eastAsia="es-CO"/>
      </w:rPr>
    </w:pP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t xml:space="preserve">            </w:t>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r>
    <w:r w:rsidRPr="005B6B78">
      <w:rPr>
        <w:rFonts w:ascii="Verdana" w:hAnsi="Verdana" w:cs="Arial"/>
        <w:color w:val="ADADAD" w:themeColor="background2" w:themeShade="BF"/>
        <w:sz w:val="14"/>
        <w:szCs w:val="14"/>
        <w:lang w:eastAsia="es-CO"/>
      </w:rPr>
      <w:tab/>
      <w:t>Fecha de aprobación: 24/02/2025</w:t>
    </w:r>
  </w:p>
  <w:p w14:paraId="1344B249" w14:textId="13480AEB" w:rsidR="00597FA0" w:rsidRPr="005B6B78" w:rsidRDefault="00597FA0" w:rsidP="00597FA0">
    <w:pPr>
      <w:rPr>
        <w:rFonts w:ascii="Verdana" w:hAnsi="Verdana" w:cs="Arial"/>
        <w:color w:val="ADADAD" w:themeColor="background2" w:themeShade="BF"/>
        <w:sz w:val="14"/>
        <w:szCs w:val="14"/>
        <w:lang w:eastAsia="es-CO"/>
      </w:rPr>
    </w:pPr>
    <w:r w:rsidRPr="005B6B78">
      <w:rPr>
        <w:rFonts w:ascii="Verdana" w:hAnsi="Verdana" w:cs="Arial"/>
        <w:color w:val="ADADAD" w:themeColor="background2" w:themeShade="BF"/>
        <w:sz w:val="14"/>
        <w:szCs w:val="14"/>
        <w:lang w:eastAsia="es-CO"/>
      </w:rPr>
      <w:t xml:space="preserve">                                                                                                                               </w:t>
    </w:r>
    <w:r w:rsidRPr="005B6B78">
      <w:rPr>
        <w:rFonts w:ascii="Verdana" w:hAnsi="Verdana" w:cs="Arial"/>
        <w:color w:val="ADADAD" w:themeColor="background2" w:themeShade="BF"/>
        <w:sz w:val="14"/>
        <w:szCs w:val="14"/>
        <w:lang w:eastAsia="es-CO"/>
      </w:rPr>
      <w:tab/>
      <w:t>Fecha de vigencia: 24/02/2025</w:t>
    </w:r>
  </w:p>
  <w:p w14:paraId="4D785B09" w14:textId="77777777" w:rsidR="00597FA0" w:rsidRPr="00E51BD9" w:rsidRDefault="00597FA0" w:rsidP="00597FA0">
    <w:pPr>
      <w:tabs>
        <w:tab w:val="right" w:pos="8910"/>
      </w:tabs>
      <w:rPr>
        <w:rFonts w:ascii="Arial" w:hAnsi="Arial"/>
        <w:color w:val="808080"/>
        <w:sz w:val="14"/>
        <w:szCs w:val="14"/>
        <w:lang w:eastAsia="es-CO"/>
      </w:rPr>
    </w:pPr>
    <w:r>
      <w:rPr>
        <w:rFonts w:ascii="Arial" w:hAnsi="Arial"/>
        <w:color w:val="808080"/>
        <w:sz w:val="14"/>
        <w:szCs w:val="14"/>
        <w:lang w:eastAsia="es-CO"/>
      </w:rPr>
      <w:t xml:space="preserve"> </w:t>
    </w:r>
  </w:p>
  <w:p w14:paraId="1D49364F" w14:textId="77777777" w:rsidR="00597FA0" w:rsidRPr="00A25FAF" w:rsidRDefault="00597FA0" w:rsidP="00597FA0"/>
  <w:p w14:paraId="0723DEA8" w14:textId="77777777" w:rsidR="00290C7A" w:rsidRDefault="00290C7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522E8" w14:textId="77777777" w:rsidR="0028356F" w:rsidRDefault="0028356F" w:rsidP="00290C7A">
      <w:r>
        <w:separator/>
      </w:r>
    </w:p>
  </w:footnote>
  <w:footnote w:type="continuationSeparator" w:id="0">
    <w:p w14:paraId="3C5AEB12" w14:textId="77777777" w:rsidR="0028356F" w:rsidRDefault="0028356F" w:rsidP="00290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20105" w14:textId="0674D394" w:rsidR="00290C7A" w:rsidRDefault="00290C7A" w:rsidP="00290C7A">
    <w:pPr>
      <w:pStyle w:val="Encabezado"/>
      <w:jc w:val="center"/>
    </w:pPr>
    <w:r w:rsidRPr="00125EDB">
      <w:rPr>
        <w:noProof/>
      </w:rPr>
      <w:drawing>
        <wp:inline distT="0" distB="0" distL="0" distR="0" wp14:anchorId="4AE575A9" wp14:editId="5FDFA444">
          <wp:extent cx="3895725" cy="895350"/>
          <wp:effectExtent l="0" t="0" r="9525" b="0"/>
          <wp:docPr id="558690029" name="Imagen 4"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tip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95725" cy="895350"/>
                  </a:xfrm>
                  <a:prstGeom prst="rect">
                    <a:avLst/>
                  </a:prstGeom>
                  <a:noFill/>
                  <a:ln>
                    <a:noFill/>
                  </a:ln>
                </pic:spPr>
              </pic:pic>
            </a:graphicData>
          </a:graphic>
        </wp:inline>
      </w:drawing>
    </w:r>
  </w:p>
  <w:p w14:paraId="7530A5B2" w14:textId="77777777" w:rsidR="00290C7A" w:rsidRDefault="00290C7A" w:rsidP="00290C7A">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44E5"/>
    <w:multiLevelType w:val="hybridMultilevel"/>
    <w:tmpl w:val="2900721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202E485"/>
    <w:multiLevelType w:val="hybridMultilevel"/>
    <w:tmpl w:val="ED321984"/>
    <w:lvl w:ilvl="0" w:tplc="3D0C7E46">
      <w:start w:val="1"/>
      <w:numFmt w:val="bullet"/>
      <w:lvlText w:val=""/>
      <w:lvlJc w:val="left"/>
      <w:pPr>
        <w:ind w:left="1068" w:hanging="360"/>
      </w:pPr>
      <w:rPr>
        <w:rFonts w:ascii="Symbol" w:hAnsi="Symbol" w:hint="default"/>
      </w:rPr>
    </w:lvl>
    <w:lvl w:ilvl="1" w:tplc="A1D01A9A">
      <w:start w:val="1"/>
      <w:numFmt w:val="bullet"/>
      <w:lvlText w:val="o"/>
      <w:lvlJc w:val="left"/>
      <w:pPr>
        <w:ind w:left="1788" w:hanging="360"/>
      </w:pPr>
      <w:rPr>
        <w:rFonts w:ascii="Courier New" w:hAnsi="Courier New" w:hint="default"/>
      </w:rPr>
    </w:lvl>
    <w:lvl w:ilvl="2" w:tplc="F814D78C">
      <w:start w:val="1"/>
      <w:numFmt w:val="bullet"/>
      <w:lvlText w:val=""/>
      <w:lvlJc w:val="left"/>
      <w:pPr>
        <w:ind w:left="2508" w:hanging="360"/>
      </w:pPr>
      <w:rPr>
        <w:rFonts w:ascii="Wingdings" w:hAnsi="Wingdings" w:hint="default"/>
      </w:rPr>
    </w:lvl>
    <w:lvl w:ilvl="3" w:tplc="BBAEAEEA">
      <w:start w:val="1"/>
      <w:numFmt w:val="bullet"/>
      <w:lvlText w:val=""/>
      <w:lvlJc w:val="left"/>
      <w:pPr>
        <w:ind w:left="3228" w:hanging="360"/>
      </w:pPr>
      <w:rPr>
        <w:rFonts w:ascii="Symbol" w:hAnsi="Symbol" w:hint="default"/>
      </w:rPr>
    </w:lvl>
    <w:lvl w:ilvl="4" w:tplc="DA163576">
      <w:start w:val="1"/>
      <w:numFmt w:val="bullet"/>
      <w:lvlText w:val="o"/>
      <w:lvlJc w:val="left"/>
      <w:pPr>
        <w:ind w:left="3948" w:hanging="360"/>
      </w:pPr>
      <w:rPr>
        <w:rFonts w:ascii="Courier New" w:hAnsi="Courier New" w:hint="default"/>
      </w:rPr>
    </w:lvl>
    <w:lvl w:ilvl="5" w:tplc="601205FC">
      <w:start w:val="1"/>
      <w:numFmt w:val="bullet"/>
      <w:lvlText w:val=""/>
      <w:lvlJc w:val="left"/>
      <w:pPr>
        <w:ind w:left="4668" w:hanging="360"/>
      </w:pPr>
      <w:rPr>
        <w:rFonts w:ascii="Wingdings" w:hAnsi="Wingdings" w:hint="default"/>
      </w:rPr>
    </w:lvl>
    <w:lvl w:ilvl="6" w:tplc="04A0B124">
      <w:start w:val="1"/>
      <w:numFmt w:val="bullet"/>
      <w:lvlText w:val=""/>
      <w:lvlJc w:val="left"/>
      <w:pPr>
        <w:ind w:left="5388" w:hanging="360"/>
      </w:pPr>
      <w:rPr>
        <w:rFonts w:ascii="Symbol" w:hAnsi="Symbol" w:hint="default"/>
      </w:rPr>
    </w:lvl>
    <w:lvl w:ilvl="7" w:tplc="4516C64A">
      <w:start w:val="1"/>
      <w:numFmt w:val="bullet"/>
      <w:lvlText w:val="o"/>
      <w:lvlJc w:val="left"/>
      <w:pPr>
        <w:ind w:left="6108" w:hanging="360"/>
      </w:pPr>
      <w:rPr>
        <w:rFonts w:ascii="Courier New" w:hAnsi="Courier New" w:hint="default"/>
      </w:rPr>
    </w:lvl>
    <w:lvl w:ilvl="8" w:tplc="B74437B4">
      <w:start w:val="1"/>
      <w:numFmt w:val="bullet"/>
      <w:lvlText w:val=""/>
      <w:lvlJc w:val="left"/>
      <w:pPr>
        <w:ind w:left="6828" w:hanging="360"/>
      </w:pPr>
      <w:rPr>
        <w:rFonts w:ascii="Wingdings" w:hAnsi="Wingdings" w:hint="default"/>
      </w:rPr>
    </w:lvl>
  </w:abstractNum>
  <w:abstractNum w:abstractNumId="2" w15:restartNumberingAfterBreak="0">
    <w:nsid w:val="2EE25EA1"/>
    <w:multiLevelType w:val="hybridMultilevel"/>
    <w:tmpl w:val="2D80D8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278CDFD"/>
    <w:multiLevelType w:val="hybridMultilevel"/>
    <w:tmpl w:val="DC509168"/>
    <w:lvl w:ilvl="0" w:tplc="A6300B08">
      <w:start w:val="1"/>
      <w:numFmt w:val="bullet"/>
      <w:lvlText w:val=""/>
      <w:lvlJc w:val="left"/>
      <w:pPr>
        <w:ind w:left="1068" w:hanging="360"/>
      </w:pPr>
      <w:rPr>
        <w:rFonts w:ascii="Symbol" w:hAnsi="Symbol" w:hint="default"/>
      </w:rPr>
    </w:lvl>
    <w:lvl w:ilvl="1" w:tplc="AC7EFDC6">
      <w:start w:val="1"/>
      <w:numFmt w:val="bullet"/>
      <w:lvlText w:val="o"/>
      <w:lvlJc w:val="left"/>
      <w:pPr>
        <w:ind w:left="1788" w:hanging="360"/>
      </w:pPr>
      <w:rPr>
        <w:rFonts w:ascii="Courier New" w:hAnsi="Courier New" w:hint="default"/>
      </w:rPr>
    </w:lvl>
    <w:lvl w:ilvl="2" w:tplc="23B069F4">
      <w:start w:val="1"/>
      <w:numFmt w:val="bullet"/>
      <w:lvlText w:val=""/>
      <w:lvlJc w:val="left"/>
      <w:pPr>
        <w:ind w:left="2508" w:hanging="360"/>
      </w:pPr>
      <w:rPr>
        <w:rFonts w:ascii="Wingdings" w:hAnsi="Wingdings" w:hint="default"/>
      </w:rPr>
    </w:lvl>
    <w:lvl w:ilvl="3" w:tplc="417E0386">
      <w:start w:val="1"/>
      <w:numFmt w:val="bullet"/>
      <w:lvlText w:val=""/>
      <w:lvlJc w:val="left"/>
      <w:pPr>
        <w:ind w:left="3228" w:hanging="360"/>
      </w:pPr>
      <w:rPr>
        <w:rFonts w:ascii="Symbol" w:hAnsi="Symbol" w:hint="default"/>
      </w:rPr>
    </w:lvl>
    <w:lvl w:ilvl="4" w:tplc="70AA9444">
      <w:start w:val="1"/>
      <w:numFmt w:val="bullet"/>
      <w:lvlText w:val="o"/>
      <w:lvlJc w:val="left"/>
      <w:pPr>
        <w:ind w:left="3948" w:hanging="360"/>
      </w:pPr>
      <w:rPr>
        <w:rFonts w:ascii="Courier New" w:hAnsi="Courier New" w:hint="default"/>
      </w:rPr>
    </w:lvl>
    <w:lvl w:ilvl="5" w:tplc="7A6CEBE2">
      <w:start w:val="1"/>
      <w:numFmt w:val="bullet"/>
      <w:lvlText w:val=""/>
      <w:lvlJc w:val="left"/>
      <w:pPr>
        <w:ind w:left="4668" w:hanging="360"/>
      </w:pPr>
      <w:rPr>
        <w:rFonts w:ascii="Wingdings" w:hAnsi="Wingdings" w:hint="default"/>
      </w:rPr>
    </w:lvl>
    <w:lvl w:ilvl="6" w:tplc="FE3E185E">
      <w:start w:val="1"/>
      <w:numFmt w:val="bullet"/>
      <w:lvlText w:val=""/>
      <w:lvlJc w:val="left"/>
      <w:pPr>
        <w:ind w:left="5388" w:hanging="360"/>
      </w:pPr>
      <w:rPr>
        <w:rFonts w:ascii="Symbol" w:hAnsi="Symbol" w:hint="default"/>
      </w:rPr>
    </w:lvl>
    <w:lvl w:ilvl="7" w:tplc="4FDC335C">
      <w:start w:val="1"/>
      <w:numFmt w:val="bullet"/>
      <w:lvlText w:val="o"/>
      <w:lvlJc w:val="left"/>
      <w:pPr>
        <w:ind w:left="6108" w:hanging="360"/>
      </w:pPr>
      <w:rPr>
        <w:rFonts w:ascii="Courier New" w:hAnsi="Courier New" w:hint="default"/>
      </w:rPr>
    </w:lvl>
    <w:lvl w:ilvl="8" w:tplc="9FAE6518">
      <w:start w:val="1"/>
      <w:numFmt w:val="bullet"/>
      <w:lvlText w:val=""/>
      <w:lvlJc w:val="left"/>
      <w:pPr>
        <w:ind w:left="6828" w:hanging="360"/>
      </w:pPr>
      <w:rPr>
        <w:rFonts w:ascii="Wingdings" w:hAnsi="Wingdings" w:hint="default"/>
      </w:rPr>
    </w:lvl>
  </w:abstractNum>
  <w:abstractNum w:abstractNumId="4" w15:restartNumberingAfterBreak="0">
    <w:nsid w:val="6588716B"/>
    <w:multiLevelType w:val="hybridMultilevel"/>
    <w:tmpl w:val="B0401B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177774003">
    <w:abstractNumId w:val="0"/>
  </w:num>
  <w:num w:numId="2" w16cid:durableId="1387298208">
    <w:abstractNumId w:val="3"/>
  </w:num>
  <w:num w:numId="3" w16cid:durableId="399980307">
    <w:abstractNumId w:val="1"/>
  </w:num>
  <w:num w:numId="4" w16cid:durableId="10180319">
    <w:abstractNumId w:val="4"/>
  </w:num>
  <w:num w:numId="5" w16cid:durableId="1851990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75D"/>
    <w:rsid w:val="00006C32"/>
    <w:rsid w:val="0001345E"/>
    <w:rsid w:val="00033572"/>
    <w:rsid w:val="0003699B"/>
    <w:rsid w:val="0003777D"/>
    <w:rsid w:val="00045468"/>
    <w:rsid w:val="000462AB"/>
    <w:rsid w:val="000479D7"/>
    <w:rsid w:val="000510CD"/>
    <w:rsid w:val="00052C12"/>
    <w:rsid w:val="00052E3B"/>
    <w:rsid w:val="00064E6A"/>
    <w:rsid w:val="00065A09"/>
    <w:rsid w:val="00070527"/>
    <w:rsid w:val="00076001"/>
    <w:rsid w:val="00081C77"/>
    <w:rsid w:val="00085B40"/>
    <w:rsid w:val="00093E9E"/>
    <w:rsid w:val="00094DEF"/>
    <w:rsid w:val="000A036F"/>
    <w:rsid w:val="000A6F68"/>
    <w:rsid w:val="000C6E92"/>
    <w:rsid w:val="000D5BFB"/>
    <w:rsid w:val="000D5C8F"/>
    <w:rsid w:val="000D6D1C"/>
    <w:rsid w:val="000F2975"/>
    <w:rsid w:val="000F5D9D"/>
    <w:rsid w:val="00106E4D"/>
    <w:rsid w:val="001271B1"/>
    <w:rsid w:val="00134571"/>
    <w:rsid w:val="001366DB"/>
    <w:rsid w:val="00146991"/>
    <w:rsid w:val="00155EF3"/>
    <w:rsid w:val="00156D2E"/>
    <w:rsid w:val="00157295"/>
    <w:rsid w:val="0016517F"/>
    <w:rsid w:val="00167DBE"/>
    <w:rsid w:val="001914B8"/>
    <w:rsid w:val="001B5AEA"/>
    <w:rsid w:val="001C7690"/>
    <w:rsid w:val="001E5F33"/>
    <w:rsid w:val="001F0AD7"/>
    <w:rsid w:val="001F6F01"/>
    <w:rsid w:val="00203710"/>
    <w:rsid w:val="00216FBE"/>
    <w:rsid w:val="00217653"/>
    <w:rsid w:val="002305C0"/>
    <w:rsid w:val="002419C0"/>
    <w:rsid w:val="0024551E"/>
    <w:rsid w:val="00245EE6"/>
    <w:rsid w:val="00250714"/>
    <w:rsid w:val="00251E83"/>
    <w:rsid w:val="0025450F"/>
    <w:rsid w:val="002546B9"/>
    <w:rsid w:val="002657BE"/>
    <w:rsid w:val="00274553"/>
    <w:rsid w:val="002820C3"/>
    <w:rsid w:val="002825AD"/>
    <w:rsid w:val="0028356F"/>
    <w:rsid w:val="00286895"/>
    <w:rsid w:val="00290AB4"/>
    <w:rsid w:val="00290C7A"/>
    <w:rsid w:val="00294F92"/>
    <w:rsid w:val="002A254E"/>
    <w:rsid w:val="002A479D"/>
    <w:rsid w:val="002B16B6"/>
    <w:rsid w:val="002B3556"/>
    <w:rsid w:val="002B49CE"/>
    <w:rsid w:val="002B5FDC"/>
    <w:rsid w:val="002C1E26"/>
    <w:rsid w:val="002D093F"/>
    <w:rsid w:val="002E0102"/>
    <w:rsid w:val="002E6DE6"/>
    <w:rsid w:val="002F3C9E"/>
    <w:rsid w:val="003005E4"/>
    <w:rsid w:val="00307B2E"/>
    <w:rsid w:val="003116A8"/>
    <w:rsid w:val="00314655"/>
    <w:rsid w:val="003148EE"/>
    <w:rsid w:val="00316823"/>
    <w:rsid w:val="00317326"/>
    <w:rsid w:val="00333B2D"/>
    <w:rsid w:val="0033757E"/>
    <w:rsid w:val="003426DB"/>
    <w:rsid w:val="00360CCD"/>
    <w:rsid w:val="00382848"/>
    <w:rsid w:val="00383060"/>
    <w:rsid w:val="00383E88"/>
    <w:rsid w:val="0038675D"/>
    <w:rsid w:val="0039044C"/>
    <w:rsid w:val="00393519"/>
    <w:rsid w:val="003B1A4E"/>
    <w:rsid w:val="003C14A5"/>
    <w:rsid w:val="003D05D1"/>
    <w:rsid w:val="003D2148"/>
    <w:rsid w:val="003E1D24"/>
    <w:rsid w:val="003E650B"/>
    <w:rsid w:val="003F1A9A"/>
    <w:rsid w:val="003F1EF9"/>
    <w:rsid w:val="003F2A12"/>
    <w:rsid w:val="003F3913"/>
    <w:rsid w:val="003F499A"/>
    <w:rsid w:val="003F7C58"/>
    <w:rsid w:val="004031EF"/>
    <w:rsid w:val="0041077B"/>
    <w:rsid w:val="00416213"/>
    <w:rsid w:val="00424E5C"/>
    <w:rsid w:val="00425867"/>
    <w:rsid w:val="00434EAB"/>
    <w:rsid w:val="00440475"/>
    <w:rsid w:val="004429C9"/>
    <w:rsid w:val="004448B4"/>
    <w:rsid w:val="00450DA2"/>
    <w:rsid w:val="00454166"/>
    <w:rsid w:val="00461360"/>
    <w:rsid w:val="004649D4"/>
    <w:rsid w:val="00465635"/>
    <w:rsid w:val="00470ADC"/>
    <w:rsid w:val="00473F8D"/>
    <w:rsid w:val="0048371C"/>
    <w:rsid w:val="004A1AF2"/>
    <w:rsid w:val="004A3A3B"/>
    <w:rsid w:val="004A5738"/>
    <w:rsid w:val="004A7C17"/>
    <w:rsid w:val="004B1D6E"/>
    <w:rsid w:val="004B24C5"/>
    <w:rsid w:val="004C0071"/>
    <w:rsid w:val="004D4AE5"/>
    <w:rsid w:val="004E4BA5"/>
    <w:rsid w:val="004E6C56"/>
    <w:rsid w:val="004F3CF2"/>
    <w:rsid w:val="005055BA"/>
    <w:rsid w:val="0050622E"/>
    <w:rsid w:val="0050676A"/>
    <w:rsid w:val="005107F4"/>
    <w:rsid w:val="0051309E"/>
    <w:rsid w:val="00515854"/>
    <w:rsid w:val="00520627"/>
    <w:rsid w:val="005207CE"/>
    <w:rsid w:val="00523BA9"/>
    <w:rsid w:val="00523E57"/>
    <w:rsid w:val="00525077"/>
    <w:rsid w:val="005250BE"/>
    <w:rsid w:val="005258B8"/>
    <w:rsid w:val="0053518E"/>
    <w:rsid w:val="005366BB"/>
    <w:rsid w:val="00536B7C"/>
    <w:rsid w:val="00541B0E"/>
    <w:rsid w:val="00542074"/>
    <w:rsid w:val="0055349E"/>
    <w:rsid w:val="00560149"/>
    <w:rsid w:val="00564258"/>
    <w:rsid w:val="00577E01"/>
    <w:rsid w:val="00581CE5"/>
    <w:rsid w:val="00584F1F"/>
    <w:rsid w:val="00585E91"/>
    <w:rsid w:val="00597723"/>
    <w:rsid w:val="00597FA0"/>
    <w:rsid w:val="005A4BDE"/>
    <w:rsid w:val="005A54CD"/>
    <w:rsid w:val="005A5C0A"/>
    <w:rsid w:val="005B2777"/>
    <w:rsid w:val="005B4EC2"/>
    <w:rsid w:val="005B6B78"/>
    <w:rsid w:val="005C2D53"/>
    <w:rsid w:val="005C6A16"/>
    <w:rsid w:val="005D2030"/>
    <w:rsid w:val="005D2606"/>
    <w:rsid w:val="005D5A5F"/>
    <w:rsid w:val="005E400B"/>
    <w:rsid w:val="005E4F2B"/>
    <w:rsid w:val="005F54A5"/>
    <w:rsid w:val="00600279"/>
    <w:rsid w:val="00607BE2"/>
    <w:rsid w:val="00611A2A"/>
    <w:rsid w:val="00626196"/>
    <w:rsid w:val="00640B6F"/>
    <w:rsid w:val="00643F71"/>
    <w:rsid w:val="00650BC7"/>
    <w:rsid w:val="006574BF"/>
    <w:rsid w:val="00657CAA"/>
    <w:rsid w:val="00663E31"/>
    <w:rsid w:val="00667B1B"/>
    <w:rsid w:val="00670952"/>
    <w:rsid w:val="0067706D"/>
    <w:rsid w:val="0067723E"/>
    <w:rsid w:val="00680913"/>
    <w:rsid w:val="00682E5F"/>
    <w:rsid w:val="006840AE"/>
    <w:rsid w:val="00684C53"/>
    <w:rsid w:val="0069591F"/>
    <w:rsid w:val="006A11EB"/>
    <w:rsid w:val="006B5387"/>
    <w:rsid w:val="006C3691"/>
    <w:rsid w:val="006C4EB2"/>
    <w:rsid w:val="006D2F56"/>
    <w:rsid w:val="006E65A4"/>
    <w:rsid w:val="006F4221"/>
    <w:rsid w:val="006F5F29"/>
    <w:rsid w:val="007053B9"/>
    <w:rsid w:val="00707D87"/>
    <w:rsid w:val="00716849"/>
    <w:rsid w:val="00720400"/>
    <w:rsid w:val="00732C3E"/>
    <w:rsid w:val="0073354C"/>
    <w:rsid w:val="00737466"/>
    <w:rsid w:val="00747481"/>
    <w:rsid w:val="00751BDB"/>
    <w:rsid w:val="00760CEE"/>
    <w:rsid w:val="00763360"/>
    <w:rsid w:val="007718B2"/>
    <w:rsid w:val="00785E93"/>
    <w:rsid w:val="00785F64"/>
    <w:rsid w:val="007907FD"/>
    <w:rsid w:val="00797106"/>
    <w:rsid w:val="007A18F1"/>
    <w:rsid w:val="007A235F"/>
    <w:rsid w:val="007A66CF"/>
    <w:rsid w:val="007B16B3"/>
    <w:rsid w:val="007B7998"/>
    <w:rsid w:val="007C1A97"/>
    <w:rsid w:val="007C579D"/>
    <w:rsid w:val="007C794B"/>
    <w:rsid w:val="007D2CE6"/>
    <w:rsid w:val="007D76B8"/>
    <w:rsid w:val="007E0910"/>
    <w:rsid w:val="007E0AA7"/>
    <w:rsid w:val="007E52A7"/>
    <w:rsid w:val="007E5B1A"/>
    <w:rsid w:val="007F2128"/>
    <w:rsid w:val="007F214E"/>
    <w:rsid w:val="007F2502"/>
    <w:rsid w:val="007F440B"/>
    <w:rsid w:val="008042D3"/>
    <w:rsid w:val="00810BEC"/>
    <w:rsid w:val="00817D78"/>
    <w:rsid w:val="008207BC"/>
    <w:rsid w:val="00827C1C"/>
    <w:rsid w:val="008309E5"/>
    <w:rsid w:val="0084072F"/>
    <w:rsid w:val="00842B8F"/>
    <w:rsid w:val="00845692"/>
    <w:rsid w:val="008460D6"/>
    <w:rsid w:val="00851EBD"/>
    <w:rsid w:val="00860CB5"/>
    <w:rsid w:val="008657D7"/>
    <w:rsid w:val="0087417B"/>
    <w:rsid w:val="00874ACE"/>
    <w:rsid w:val="008A03EF"/>
    <w:rsid w:val="008A17CE"/>
    <w:rsid w:val="008B3F98"/>
    <w:rsid w:val="008B73E3"/>
    <w:rsid w:val="008D239C"/>
    <w:rsid w:val="008D57B4"/>
    <w:rsid w:val="008D78B9"/>
    <w:rsid w:val="008F1819"/>
    <w:rsid w:val="008F54AC"/>
    <w:rsid w:val="008F5F2B"/>
    <w:rsid w:val="009026A6"/>
    <w:rsid w:val="00905095"/>
    <w:rsid w:val="0090659B"/>
    <w:rsid w:val="00907811"/>
    <w:rsid w:val="00915894"/>
    <w:rsid w:val="00920BF3"/>
    <w:rsid w:val="00924CDD"/>
    <w:rsid w:val="00935AE5"/>
    <w:rsid w:val="00941F01"/>
    <w:rsid w:val="00944824"/>
    <w:rsid w:val="0095128F"/>
    <w:rsid w:val="00954825"/>
    <w:rsid w:val="009557EF"/>
    <w:rsid w:val="0096303A"/>
    <w:rsid w:val="009668BC"/>
    <w:rsid w:val="009724FD"/>
    <w:rsid w:val="00974678"/>
    <w:rsid w:val="0097760A"/>
    <w:rsid w:val="0098333D"/>
    <w:rsid w:val="00984EFC"/>
    <w:rsid w:val="009A0D35"/>
    <w:rsid w:val="009A33D2"/>
    <w:rsid w:val="009B0717"/>
    <w:rsid w:val="009B0B1A"/>
    <w:rsid w:val="009B1E14"/>
    <w:rsid w:val="009B3FF8"/>
    <w:rsid w:val="009B5B40"/>
    <w:rsid w:val="009B6AE0"/>
    <w:rsid w:val="009E787F"/>
    <w:rsid w:val="009F3A72"/>
    <w:rsid w:val="00A04CC6"/>
    <w:rsid w:val="00A05EA4"/>
    <w:rsid w:val="00A061E4"/>
    <w:rsid w:val="00A17ACA"/>
    <w:rsid w:val="00A33224"/>
    <w:rsid w:val="00A3583F"/>
    <w:rsid w:val="00A419D1"/>
    <w:rsid w:val="00A77141"/>
    <w:rsid w:val="00A96658"/>
    <w:rsid w:val="00AA272C"/>
    <w:rsid w:val="00AA65B4"/>
    <w:rsid w:val="00AA7539"/>
    <w:rsid w:val="00AB40EB"/>
    <w:rsid w:val="00AC47CA"/>
    <w:rsid w:val="00AC5516"/>
    <w:rsid w:val="00AC5551"/>
    <w:rsid w:val="00AC7A53"/>
    <w:rsid w:val="00AD58D9"/>
    <w:rsid w:val="00AE5A64"/>
    <w:rsid w:val="00AF4626"/>
    <w:rsid w:val="00AF4E25"/>
    <w:rsid w:val="00B03AB0"/>
    <w:rsid w:val="00B355BC"/>
    <w:rsid w:val="00B44AE4"/>
    <w:rsid w:val="00B47EC2"/>
    <w:rsid w:val="00B52FBD"/>
    <w:rsid w:val="00B640E2"/>
    <w:rsid w:val="00B64E49"/>
    <w:rsid w:val="00B71176"/>
    <w:rsid w:val="00B7311B"/>
    <w:rsid w:val="00B84964"/>
    <w:rsid w:val="00B86B77"/>
    <w:rsid w:val="00BB22B4"/>
    <w:rsid w:val="00BB5406"/>
    <w:rsid w:val="00BD2270"/>
    <w:rsid w:val="00BF2B8E"/>
    <w:rsid w:val="00C0341B"/>
    <w:rsid w:val="00C04466"/>
    <w:rsid w:val="00C04ADB"/>
    <w:rsid w:val="00C1574A"/>
    <w:rsid w:val="00C20F82"/>
    <w:rsid w:val="00C247BC"/>
    <w:rsid w:val="00C2734D"/>
    <w:rsid w:val="00C34076"/>
    <w:rsid w:val="00C41A98"/>
    <w:rsid w:val="00C450FE"/>
    <w:rsid w:val="00C51D0D"/>
    <w:rsid w:val="00C53CB8"/>
    <w:rsid w:val="00C676EA"/>
    <w:rsid w:val="00C81ECF"/>
    <w:rsid w:val="00C82E07"/>
    <w:rsid w:val="00C860E2"/>
    <w:rsid w:val="00C916B7"/>
    <w:rsid w:val="00C966FA"/>
    <w:rsid w:val="00CA6C8E"/>
    <w:rsid w:val="00CC2733"/>
    <w:rsid w:val="00CC2DC4"/>
    <w:rsid w:val="00CC6093"/>
    <w:rsid w:val="00CD06AE"/>
    <w:rsid w:val="00CD290B"/>
    <w:rsid w:val="00CF2539"/>
    <w:rsid w:val="00CF3686"/>
    <w:rsid w:val="00D15372"/>
    <w:rsid w:val="00D20701"/>
    <w:rsid w:val="00D257EC"/>
    <w:rsid w:val="00D42283"/>
    <w:rsid w:val="00D5233E"/>
    <w:rsid w:val="00D6175F"/>
    <w:rsid w:val="00D61E4D"/>
    <w:rsid w:val="00D63286"/>
    <w:rsid w:val="00D65996"/>
    <w:rsid w:val="00D67219"/>
    <w:rsid w:val="00D77231"/>
    <w:rsid w:val="00D77CD4"/>
    <w:rsid w:val="00D80E86"/>
    <w:rsid w:val="00D85568"/>
    <w:rsid w:val="00D85954"/>
    <w:rsid w:val="00D8701D"/>
    <w:rsid w:val="00D93BAF"/>
    <w:rsid w:val="00D97105"/>
    <w:rsid w:val="00DB2411"/>
    <w:rsid w:val="00DB3AF3"/>
    <w:rsid w:val="00DB4A66"/>
    <w:rsid w:val="00DB62B8"/>
    <w:rsid w:val="00DC223F"/>
    <w:rsid w:val="00DC2A2A"/>
    <w:rsid w:val="00DD2734"/>
    <w:rsid w:val="00DD5A87"/>
    <w:rsid w:val="00DD5FDF"/>
    <w:rsid w:val="00DE246C"/>
    <w:rsid w:val="00DF76B7"/>
    <w:rsid w:val="00E12BC5"/>
    <w:rsid w:val="00E17A19"/>
    <w:rsid w:val="00E20866"/>
    <w:rsid w:val="00E34096"/>
    <w:rsid w:val="00E43048"/>
    <w:rsid w:val="00E511F5"/>
    <w:rsid w:val="00E5496A"/>
    <w:rsid w:val="00E60A9A"/>
    <w:rsid w:val="00E6575A"/>
    <w:rsid w:val="00E70BEE"/>
    <w:rsid w:val="00E73410"/>
    <w:rsid w:val="00E859C3"/>
    <w:rsid w:val="00E92A4C"/>
    <w:rsid w:val="00E9319C"/>
    <w:rsid w:val="00EA0FC2"/>
    <w:rsid w:val="00EA4661"/>
    <w:rsid w:val="00EB397E"/>
    <w:rsid w:val="00EC1237"/>
    <w:rsid w:val="00EC2881"/>
    <w:rsid w:val="00ED7BAB"/>
    <w:rsid w:val="00EF13B4"/>
    <w:rsid w:val="00F07189"/>
    <w:rsid w:val="00F10F10"/>
    <w:rsid w:val="00F12259"/>
    <w:rsid w:val="00F128F9"/>
    <w:rsid w:val="00F16405"/>
    <w:rsid w:val="00F17085"/>
    <w:rsid w:val="00F23EAB"/>
    <w:rsid w:val="00F25228"/>
    <w:rsid w:val="00F42878"/>
    <w:rsid w:val="00F63C6E"/>
    <w:rsid w:val="00F63E6E"/>
    <w:rsid w:val="00F658D8"/>
    <w:rsid w:val="00F719EB"/>
    <w:rsid w:val="00F76BD9"/>
    <w:rsid w:val="00F81C32"/>
    <w:rsid w:val="00F84E81"/>
    <w:rsid w:val="00FA5C20"/>
    <w:rsid w:val="00FA7293"/>
    <w:rsid w:val="00FB407A"/>
    <w:rsid w:val="00FD2D58"/>
    <w:rsid w:val="00FD4FAA"/>
    <w:rsid w:val="00FE0591"/>
    <w:rsid w:val="00FE4651"/>
    <w:rsid w:val="00FE483E"/>
    <w:rsid w:val="00FE5A86"/>
    <w:rsid w:val="00FF18C6"/>
    <w:rsid w:val="00FF49E9"/>
    <w:rsid w:val="00FF56B4"/>
    <w:rsid w:val="00FF5FF2"/>
    <w:rsid w:val="05362DF7"/>
    <w:rsid w:val="059EC426"/>
    <w:rsid w:val="05E4995C"/>
    <w:rsid w:val="06F58016"/>
    <w:rsid w:val="090CFDC5"/>
    <w:rsid w:val="0C7ED876"/>
    <w:rsid w:val="0C99698E"/>
    <w:rsid w:val="0D35735C"/>
    <w:rsid w:val="106F9B41"/>
    <w:rsid w:val="1803792D"/>
    <w:rsid w:val="1C7A3733"/>
    <w:rsid w:val="1DDFE5E1"/>
    <w:rsid w:val="1F3165F1"/>
    <w:rsid w:val="20412C9E"/>
    <w:rsid w:val="21C307B3"/>
    <w:rsid w:val="22737EBF"/>
    <w:rsid w:val="22E6E73D"/>
    <w:rsid w:val="237EB8BB"/>
    <w:rsid w:val="28EC8926"/>
    <w:rsid w:val="2E270470"/>
    <w:rsid w:val="2E4899EA"/>
    <w:rsid w:val="320681C6"/>
    <w:rsid w:val="33DD3E34"/>
    <w:rsid w:val="3AB973E3"/>
    <w:rsid w:val="3C005917"/>
    <w:rsid w:val="3C29B5F7"/>
    <w:rsid w:val="3C95D676"/>
    <w:rsid w:val="41E8F7F4"/>
    <w:rsid w:val="465F8D87"/>
    <w:rsid w:val="46F5D027"/>
    <w:rsid w:val="491408AF"/>
    <w:rsid w:val="4BA15F45"/>
    <w:rsid w:val="4DBE83CA"/>
    <w:rsid w:val="51B5F4D4"/>
    <w:rsid w:val="51BFAFED"/>
    <w:rsid w:val="541719E7"/>
    <w:rsid w:val="543647E9"/>
    <w:rsid w:val="550BE96D"/>
    <w:rsid w:val="55D9C3CC"/>
    <w:rsid w:val="5602A8C9"/>
    <w:rsid w:val="5B4756C0"/>
    <w:rsid w:val="5D587A84"/>
    <w:rsid w:val="5D762459"/>
    <w:rsid w:val="5DE43063"/>
    <w:rsid w:val="612B9915"/>
    <w:rsid w:val="65347C95"/>
    <w:rsid w:val="65A42530"/>
    <w:rsid w:val="6627B64F"/>
    <w:rsid w:val="67645964"/>
    <w:rsid w:val="6EC180D4"/>
    <w:rsid w:val="72799FEA"/>
    <w:rsid w:val="778073A6"/>
    <w:rsid w:val="7806221E"/>
    <w:rsid w:val="786607BA"/>
    <w:rsid w:val="7AC3550E"/>
    <w:rsid w:val="7E14285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95CAF"/>
  <w15:chartTrackingRefBased/>
  <w15:docId w15:val="{99F640E3-A84F-4927-936B-38F5154DE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4B8"/>
    <w:pPr>
      <w:spacing w:after="0" w:line="240" w:lineRule="auto"/>
    </w:pPr>
    <w:rPr>
      <w:rFonts w:ascii="Times New Roman" w:eastAsia="Times New Roman" w:hAnsi="Times New Roman" w:cs="Times New Roman"/>
      <w:kern w:val="0"/>
      <w:lang w:val="es-ES" w:eastAsia="es-ES"/>
      <w14:ligatures w14:val="none"/>
    </w:rPr>
  </w:style>
  <w:style w:type="paragraph" w:styleId="Ttulo1">
    <w:name w:val="heading 1"/>
    <w:basedOn w:val="Normal"/>
    <w:next w:val="Normal"/>
    <w:link w:val="Ttulo1Car"/>
    <w:uiPriority w:val="9"/>
    <w:qFormat/>
    <w:rsid w:val="00386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86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8675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8675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8675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8675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8675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8675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8675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8675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8675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8675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8675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8675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867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867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867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8675D"/>
    <w:rPr>
      <w:rFonts w:eastAsiaTheme="majorEastAsia" w:cstheme="majorBidi"/>
      <w:color w:val="272727" w:themeColor="text1" w:themeTint="D8"/>
    </w:rPr>
  </w:style>
  <w:style w:type="paragraph" w:styleId="Ttulo">
    <w:name w:val="Title"/>
    <w:basedOn w:val="Normal"/>
    <w:next w:val="Normal"/>
    <w:link w:val="TtuloCar"/>
    <w:uiPriority w:val="10"/>
    <w:qFormat/>
    <w:rsid w:val="0038675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867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867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867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8675D"/>
    <w:pPr>
      <w:spacing w:before="160"/>
      <w:jc w:val="center"/>
    </w:pPr>
    <w:rPr>
      <w:i/>
      <w:iCs/>
      <w:color w:val="404040" w:themeColor="text1" w:themeTint="BF"/>
    </w:rPr>
  </w:style>
  <w:style w:type="character" w:customStyle="1" w:styleId="CitaCar">
    <w:name w:val="Cita Car"/>
    <w:basedOn w:val="Fuentedeprrafopredeter"/>
    <w:link w:val="Cita"/>
    <w:uiPriority w:val="29"/>
    <w:rsid w:val="0038675D"/>
    <w:rPr>
      <w:i/>
      <w:iCs/>
      <w:color w:val="404040" w:themeColor="text1" w:themeTint="BF"/>
    </w:rPr>
  </w:style>
  <w:style w:type="paragraph" w:styleId="Prrafodelista">
    <w:name w:val="List Paragraph"/>
    <w:basedOn w:val="Normal"/>
    <w:uiPriority w:val="34"/>
    <w:qFormat/>
    <w:rsid w:val="0038675D"/>
    <w:pPr>
      <w:ind w:left="720"/>
      <w:contextualSpacing/>
    </w:pPr>
  </w:style>
  <w:style w:type="character" w:styleId="nfasisintenso">
    <w:name w:val="Intense Emphasis"/>
    <w:basedOn w:val="Fuentedeprrafopredeter"/>
    <w:uiPriority w:val="21"/>
    <w:qFormat/>
    <w:rsid w:val="0038675D"/>
    <w:rPr>
      <w:i/>
      <w:iCs/>
      <w:color w:val="0F4761" w:themeColor="accent1" w:themeShade="BF"/>
    </w:rPr>
  </w:style>
  <w:style w:type="paragraph" w:styleId="Citadestacada">
    <w:name w:val="Intense Quote"/>
    <w:basedOn w:val="Normal"/>
    <w:next w:val="Normal"/>
    <w:link w:val="CitadestacadaCar"/>
    <w:uiPriority w:val="30"/>
    <w:qFormat/>
    <w:rsid w:val="00386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8675D"/>
    <w:rPr>
      <w:i/>
      <w:iCs/>
      <w:color w:val="0F4761" w:themeColor="accent1" w:themeShade="BF"/>
    </w:rPr>
  </w:style>
  <w:style w:type="character" w:styleId="Referenciaintensa">
    <w:name w:val="Intense Reference"/>
    <w:basedOn w:val="Fuentedeprrafopredeter"/>
    <w:uiPriority w:val="32"/>
    <w:qFormat/>
    <w:rsid w:val="0038675D"/>
    <w:rPr>
      <w:b/>
      <w:bCs/>
      <w:smallCaps/>
      <w:color w:val="0F4761" w:themeColor="accent1" w:themeShade="BF"/>
      <w:spacing w:val="5"/>
    </w:rPr>
  </w:style>
  <w:style w:type="character" w:styleId="Refdecomentario">
    <w:name w:val="annotation reference"/>
    <w:basedOn w:val="Fuentedeprrafopredeter"/>
    <w:rsid w:val="0038675D"/>
    <w:rPr>
      <w:sz w:val="16"/>
      <w:szCs w:val="16"/>
    </w:rPr>
  </w:style>
  <w:style w:type="paragraph" w:styleId="Textocomentario">
    <w:name w:val="annotation text"/>
    <w:basedOn w:val="Normal"/>
    <w:link w:val="TextocomentarioCar"/>
    <w:rsid w:val="0038675D"/>
    <w:rPr>
      <w:sz w:val="20"/>
      <w:szCs w:val="20"/>
    </w:rPr>
  </w:style>
  <w:style w:type="character" w:customStyle="1" w:styleId="TextocomentarioCar">
    <w:name w:val="Texto comentario Car"/>
    <w:basedOn w:val="Fuentedeprrafopredeter"/>
    <w:link w:val="Textocomentario"/>
    <w:rsid w:val="0038675D"/>
    <w:rPr>
      <w:rFonts w:ascii="Times New Roman" w:eastAsia="Times New Roman" w:hAnsi="Times New Roman" w:cs="Times New Roman"/>
      <w:kern w:val="0"/>
      <w:sz w:val="20"/>
      <w:szCs w:val="20"/>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294F92"/>
    <w:rPr>
      <w:b/>
      <w:bCs/>
    </w:rPr>
  </w:style>
  <w:style w:type="character" w:customStyle="1" w:styleId="AsuntodelcomentarioCar">
    <w:name w:val="Asunto del comentario Car"/>
    <w:basedOn w:val="TextocomentarioCar"/>
    <w:link w:val="Asuntodelcomentario"/>
    <w:uiPriority w:val="99"/>
    <w:semiHidden/>
    <w:rsid w:val="00294F92"/>
    <w:rPr>
      <w:rFonts w:ascii="Times New Roman" w:eastAsia="Times New Roman" w:hAnsi="Times New Roman" w:cs="Times New Roman"/>
      <w:b/>
      <w:bCs/>
      <w:kern w:val="0"/>
      <w:sz w:val="20"/>
      <w:szCs w:val="20"/>
      <w:lang w:val="es-ES" w:eastAsia="es-ES"/>
      <w14:ligatures w14:val="none"/>
    </w:rPr>
  </w:style>
  <w:style w:type="character" w:styleId="Textodelmarcadordeposicin">
    <w:name w:val="Placeholder Text"/>
    <w:basedOn w:val="Fuentedeprrafopredeter"/>
    <w:uiPriority w:val="99"/>
    <w:semiHidden/>
    <w:rsid w:val="00294F92"/>
    <w:rPr>
      <w:color w:val="666666"/>
    </w:rPr>
  </w:style>
  <w:style w:type="paragraph" w:styleId="Revisin">
    <w:name w:val="Revision"/>
    <w:hidden/>
    <w:uiPriority w:val="99"/>
    <w:semiHidden/>
    <w:rsid w:val="00560149"/>
    <w:pPr>
      <w:spacing w:after="0" w:line="240" w:lineRule="auto"/>
    </w:pPr>
    <w:rPr>
      <w:rFonts w:ascii="Times New Roman" w:eastAsia="Times New Roman" w:hAnsi="Times New Roman" w:cs="Times New Roman"/>
      <w:kern w:val="0"/>
      <w:lang w:val="es-ES" w:eastAsia="es-ES"/>
      <w14:ligatures w14:val="none"/>
    </w:rPr>
  </w:style>
  <w:style w:type="character" w:customStyle="1" w:styleId="ui-provider">
    <w:name w:val="ui-provider"/>
    <w:basedOn w:val="Fuentedeprrafopredeter"/>
    <w:rsid w:val="003E650B"/>
  </w:style>
  <w:style w:type="paragraph" w:styleId="Encabezado">
    <w:name w:val="header"/>
    <w:basedOn w:val="Normal"/>
    <w:link w:val="EncabezadoCar"/>
    <w:uiPriority w:val="99"/>
    <w:unhideWhenUsed/>
    <w:rsid w:val="00290C7A"/>
    <w:pPr>
      <w:tabs>
        <w:tab w:val="center" w:pos="4419"/>
        <w:tab w:val="right" w:pos="8838"/>
      </w:tabs>
    </w:pPr>
  </w:style>
  <w:style w:type="character" w:customStyle="1" w:styleId="EncabezadoCar">
    <w:name w:val="Encabezado Car"/>
    <w:basedOn w:val="Fuentedeprrafopredeter"/>
    <w:link w:val="Encabezado"/>
    <w:uiPriority w:val="99"/>
    <w:rsid w:val="00290C7A"/>
    <w:rPr>
      <w:rFonts w:ascii="Times New Roman" w:eastAsia="Times New Roman" w:hAnsi="Times New Roman" w:cs="Times New Roman"/>
      <w:kern w:val="0"/>
      <w:lang w:val="es-ES" w:eastAsia="es-ES"/>
      <w14:ligatures w14:val="none"/>
    </w:rPr>
  </w:style>
  <w:style w:type="paragraph" w:styleId="Piedepgina">
    <w:name w:val="footer"/>
    <w:basedOn w:val="Normal"/>
    <w:link w:val="PiedepginaCar"/>
    <w:uiPriority w:val="99"/>
    <w:unhideWhenUsed/>
    <w:rsid w:val="00290C7A"/>
    <w:pPr>
      <w:tabs>
        <w:tab w:val="center" w:pos="4419"/>
        <w:tab w:val="right" w:pos="8838"/>
      </w:tabs>
    </w:pPr>
  </w:style>
  <w:style w:type="character" w:customStyle="1" w:styleId="PiedepginaCar">
    <w:name w:val="Pie de página Car"/>
    <w:basedOn w:val="Fuentedeprrafopredeter"/>
    <w:link w:val="Piedepgina"/>
    <w:uiPriority w:val="99"/>
    <w:rsid w:val="00290C7A"/>
    <w:rPr>
      <w:rFonts w:ascii="Times New Roman" w:eastAsia="Times New Roman" w:hAnsi="Times New Roman" w:cs="Times New Roman"/>
      <w:kern w:val="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xbasecolombia.info/../lexbase/normas/leyes/1999/L0510de1999.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0D1E8-D840-4AA0-BD9B-158EEC64B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4260</Words>
  <Characters>23430</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27635</CharactersWithSpaces>
  <SharedDoc>false</SharedDoc>
  <HLinks>
    <vt:vector size="6" baseType="variant">
      <vt:variant>
        <vt:i4>4456457</vt:i4>
      </vt:variant>
      <vt:variant>
        <vt:i4>0</vt:i4>
      </vt:variant>
      <vt:variant>
        <vt:i4>0</vt:i4>
      </vt:variant>
      <vt:variant>
        <vt:i4>5</vt:i4>
      </vt:variant>
      <vt:variant>
        <vt:lpwstr>http://www.lexbasecolombia.info/lexbase/normas/leyes/1999/L0510de1999.htm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Lagos Camargo</dc:creator>
  <cp:keywords/>
  <dc:description/>
  <cp:lastModifiedBy>Fondo de Garantías de Instituciones Financieras </cp:lastModifiedBy>
  <cp:revision>4</cp:revision>
  <cp:lastPrinted>2026-10-27T12:24:00Z</cp:lastPrinted>
  <dcterms:created xsi:type="dcterms:W3CDTF">2026-10-29T20:10:00Z</dcterms:created>
  <dcterms:modified xsi:type="dcterms:W3CDTF">2026-10-29T20:14:00Z</dcterms:modified>
</cp:coreProperties>
</file>